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6C7632F3"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D40F4C">
        <w:rPr>
          <w:rFonts w:cs="Arial"/>
          <w:sz w:val="24"/>
          <w:szCs w:val="24"/>
        </w:rPr>
        <w:t>6bis</w:t>
      </w:r>
      <w:r w:rsidRPr="00AB081E">
        <w:rPr>
          <w:rFonts w:cs="Arial"/>
          <w:sz w:val="24"/>
          <w:szCs w:val="24"/>
        </w:rPr>
        <w:t>-e</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DA7066" w:rsidRPr="00DA7066">
        <w:rPr>
          <w:rFonts w:cs="Arial"/>
          <w:noProof w:val="0"/>
          <w:sz w:val="24"/>
        </w:rPr>
        <w:t>2</w:t>
      </w:r>
      <w:r w:rsidR="00D40F4C">
        <w:rPr>
          <w:rFonts w:cs="Arial"/>
          <w:noProof w:val="0"/>
          <w:sz w:val="24"/>
        </w:rPr>
        <w:t>3</w:t>
      </w:r>
      <w:r w:rsidR="0094190F">
        <w:rPr>
          <w:rFonts w:cs="Arial"/>
          <w:noProof w:val="0"/>
          <w:sz w:val="24"/>
        </w:rPr>
        <w:t>04229</w:t>
      </w:r>
    </w:p>
    <w:p w14:paraId="321D1244" w14:textId="7CFEAD47" w:rsidR="0011347F" w:rsidRPr="00AB081E" w:rsidRDefault="0011347F" w:rsidP="0011347F">
      <w:pPr>
        <w:pStyle w:val="Header"/>
        <w:tabs>
          <w:tab w:val="right" w:pos="8280"/>
          <w:tab w:val="right" w:pos="9639"/>
        </w:tabs>
        <w:jc w:val="both"/>
        <w:rPr>
          <w:rFonts w:cs="Arial"/>
          <w:sz w:val="24"/>
          <w:szCs w:val="24"/>
        </w:rPr>
      </w:pPr>
      <w:r w:rsidRPr="00AB081E">
        <w:rPr>
          <w:rFonts w:cs="Arial"/>
          <w:sz w:val="24"/>
          <w:szCs w:val="24"/>
        </w:rPr>
        <w:t xml:space="preserve">E-meeting, </w:t>
      </w:r>
      <w:r w:rsidR="00D40F4C">
        <w:rPr>
          <w:rFonts w:cs="Arial"/>
          <w:sz w:val="24"/>
          <w:szCs w:val="24"/>
        </w:rPr>
        <w:t>17</w:t>
      </w:r>
      <w:r w:rsidR="00D40F4C" w:rsidRPr="00D40F4C">
        <w:rPr>
          <w:rFonts w:cs="Arial"/>
          <w:sz w:val="24"/>
          <w:szCs w:val="24"/>
          <w:vertAlign w:val="superscript"/>
        </w:rPr>
        <w:t>th</w:t>
      </w:r>
      <w:r w:rsidR="00D40F4C">
        <w:rPr>
          <w:rFonts w:cs="Arial"/>
          <w:sz w:val="24"/>
          <w:szCs w:val="24"/>
        </w:rPr>
        <w:t xml:space="preserve"> </w:t>
      </w:r>
      <w:r>
        <w:rPr>
          <w:rFonts w:cs="Arial"/>
          <w:sz w:val="24"/>
          <w:szCs w:val="24"/>
        </w:rPr>
        <w:t xml:space="preserve">– </w:t>
      </w:r>
      <w:r w:rsidR="00D40F4C">
        <w:rPr>
          <w:rFonts w:cs="Arial"/>
          <w:sz w:val="24"/>
          <w:szCs w:val="24"/>
        </w:rPr>
        <w:t>26</w:t>
      </w:r>
      <w:r w:rsidR="00D40F4C" w:rsidRPr="00D40F4C">
        <w:rPr>
          <w:rFonts w:cs="Arial"/>
          <w:sz w:val="24"/>
          <w:szCs w:val="24"/>
          <w:vertAlign w:val="superscript"/>
        </w:rPr>
        <w:t>th</w:t>
      </w:r>
      <w:r w:rsidR="00D40F4C">
        <w:rPr>
          <w:rFonts w:cs="Arial"/>
          <w:sz w:val="24"/>
          <w:szCs w:val="24"/>
        </w:rPr>
        <w:t xml:space="preserve"> April</w:t>
      </w:r>
      <w:r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55EC95A5"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303329">
        <w:rPr>
          <w:rFonts w:ascii="Arial" w:hAnsi="Arial" w:cs="Arial"/>
          <w:b/>
          <w:sz w:val="24"/>
        </w:rPr>
        <w:t>5.</w:t>
      </w:r>
      <w:r w:rsidR="00464AF9">
        <w:rPr>
          <w:rFonts w:ascii="Arial" w:hAnsi="Arial" w:cs="Arial"/>
          <w:b/>
          <w:sz w:val="24"/>
        </w:rPr>
        <w:t>35.3</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68B52D96"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883BF1">
        <w:rPr>
          <w:rFonts w:ascii="Arial" w:hAnsi="Arial" w:cs="Arial"/>
          <w:b/>
          <w:sz w:val="24"/>
        </w:rPr>
        <w:t>NR network energy saving RRM aspects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41957F67" w14:textId="08603ED4" w:rsidR="00883BF1" w:rsidRDefault="00883BF1" w:rsidP="00E62411">
      <w:r>
        <w:t>Following the SI of NR network energy saving, a WI is approved in RANP#9</w:t>
      </w:r>
      <w:r w:rsidR="00193306">
        <w:t>8-e</w:t>
      </w:r>
      <w:r>
        <w:t xml:space="preserve"> in </w:t>
      </w:r>
      <w:r w:rsidR="00193306">
        <w:t>Dec. 2022</w:t>
      </w:r>
      <w:r>
        <w:t>. The WID can be seen in [1]. The objectives are copied in the below box.</w:t>
      </w:r>
    </w:p>
    <w:tbl>
      <w:tblPr>
        <w:tblStyle w:val="TableGrid"/>
        <w:tblW w:w="0" w:type="auto"/>
        <w:tblLook w:val="04A0" w:firstRow="1" w:lastRow="0" w:firstColumn="1" w:lastColumn="0" w:noHBand="0" w:noVBand="1"/>
      </w:tblPr>
      <w:tblGrid>
        <w:gridCol w:w="9629"/>
      </w:tblGrid>
      <w:tr w:rsidR="00883BF1" w14:paraId="14B115A2" w14:textId="77777777" w:rsidTr="00883BF1">
        <w:tc>
          <w:tcPr>
            <w:tcW w:w="9629" w:type="dxa"/>
          </w:tcPr>
          <w:p w14:paraId="7058CAD0"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SSB-less SCell operation</w:t>
            </w:r>
            <w:r w:rsidRPr="00193306">
              <w:rPr>
                <w:bCs/>
                <w:lang w:eastAsia="en-GB"/>
              </w:rPr>
              <w:t xml:space="preserve">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1969915D" w14:textId="77777777" w:rsidR="00193306" w:rsidRPr="00193306" w:rsidRDefault="00193306" w:rsidP="00193306">
            <w:pPr>
              <w:spacing w:before="0" w:after="0"/>
              <w:ind w:left="620"/>
              <w:rPr>
                <w:bCs/>
                <w:lang w:eastAsia="en-GB"/>
              </w:rPr>
            </w:pPr>
          </w:p>
          <w:p w14:paraId="01FA63BF"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enhancement on cell DTX/DRX mechanism</w:t>
            </w:r>
            <w:r w:rsidRPr="00193306">
              <w:rPr>
                <w:bCs/>
                <w:lang w:eastAsia="en-GB"/>
              </w:rPr>
              <w:t xml:space="preserve"> including the alignment of cell DTX/DRX and UE DRX in RRC_CONNECTED mode, and inter-node information exchange on cell DTX/DRX [RAN2, RAN1, RAN3]</w:t>
            </w:r>
          </w:p>
          <w:p w14:paraId="7DD14A62"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No change for SSB transmission due to cell DTX/DRX.</w:t>
            </w:r>
          </w:p>
          <w:p w14:paraId="611F940D"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The impact to IDLE/INACTIVE UEs due to the above enhancement should be avoided.</w:t>
            </w:r>
          </w:p>
          <w:p w14:paraId="137FB0A2" w14:textId="77777777" w:rsidR="00193306" w:rsidRPr="00193306" w:rsidRDefault="00193306" w:rsidP="00193306">
            <w:pPr>
              <w:numPr>
                <w:ilvl w:val="0"/>
                <w:numId w:val="28"/>
              </w:numPr>
              <w:spacing w:before="240" w:after="0"/>
              <w:ind w:leftChars="100" w:left="620"/>
              <w:rPr>
                <w:bCs/>
                <w:lang w:eastAsia="en-GB"/>
              </w:rPr>
            </w:pPr>
            <w:r w:rsidRPr="00193306">
              <w:rPr>
                <w:bCs/>
                <w:lang w:eastAsia="en-GB"/>
              </w:rPr>
              <w:t>Specify the following techniques in spatial and power domains</w:t>
            </w:r>
          </w:p>
          <w:p w14:paraId="24A7FEA3"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5BE06724"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Specify necessary enhancements on CSI related procedures including measurement and report, and signaling to enable efficient adaptation of power offset values between PDSCH and CSI-RS [RAN1, RAN2]</w:t>
            </w:r>
          </w:p>
          <w:p w14:paraId="4AE1A532"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Above objectives are only for UE specific channels/signals</w:t>
            </w:r>
          </w:p>
          <w:p w14:paraId="4D8B5631"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Legacy UE CSI/CSI-RS capabilities applies when considering total number of CSI reports and requirements</w:t>
            </w:r>
          </w:p>
          <w:p w14:paraId="75766645" w14:textId="77777777" w:rsidR="00193306" w:rsidRPr="00193306" w:rsidRDefault="00193306" w:rsidP="00193306">
            <w:pPr>
              <w:autoSpaceDE/>
              <w:autoSpaceDN/>
              <w:adjustRightInd/>
              <w:spacing w:before="0" w:after="0"/>
              <w:ind w:left="1049"/>
              <w:jc w:val="both"/>
              <w:textAlignment w:val="auto"/>
              <w:rPr>
                <w:rFonts w:ascii="Times" w:hAnsi="Times" w:cs="Times"/>
                <w:bCs/>
                <w:iCs/>
                <w:szCs w:val="22"/>
                <w:lang w:val="en-US" w:eastAsia="zh-CN"/>
              </w:rPr>
            </w:pPr>
          </w:p>
          <w:p w14:paraId="5A3E686A"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mechanism(s) to prevent legacy UEs camping on cells adopting the Rel-18 NES techniques, if necessary [RAN2] </w:t>
            </w:r>
          </w:p>
          <w:p w14:paraId="27389462" w14:textId="77777777" w:rsidR="00193306" w:rsidRPr="00193306" w:rsidRDefault="00193306" w:rsidP="00193306">
            <w:pPr>
              <w:spacing w:before="0" w:after="0"/>
              <w:ind w:left="620"/>
              <w:rPr>
                <w:bCs/>
                <w:lang w:eastAsia="en-GB"/>
              </w:rPr>
            </w:pPr>
          </w:p>
          <w:p w14:paraId="40A14054"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CHO procedure enhancement</w:t>
            </w:r>
            <w:r w:rsidRPr="00193306">
              <w:rPr>
                <w:bCs/>
                <w:lang w:eastAsia="en-GB"/>
              </w:rPr>
              <w:t>(s) in case source/target cell is in NES mode [RAN2]</w:t>
            </w:r>
          </w:p>
          <w:p w14:paraId="052DB05C" w14:textId="77777777" w:rsidR="00193306" w:rsidRPr="00193306" w:rsidRDefault="00193306" w:rsidP="00193306">
            <w:pPr>
              <w:spacing w:before="0" w:after="0"/>
              <w:ind w:left="620"/>
              <w:rPr>
                <w:bCs/>
                <w:lang w:val="en-US" w:eastAsia="en-GB"/>
              </w:rPr>
            </w:pPr>
          </w:p>
          <w:p w14:paraId="44D364BB"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Specify inter-node beam activation and enhancements on restricting paging in a limited area [RAN3].</w:t>
            </w:r>
          </w:p>
          <w:p w14:paraId="7CCC3352" w14:textId="77777777" w:rsidR="00193306" w:rsidRPr="00193306" w:rsidRDefault="00193306" w:rsidP="00193306">
            <w:pPr>
              <w:spacing w:before="0" w:after="0"/>
              <w:rPr>
                <w:bCs/>
                <w:lang w:eastAsia="en-GB"/>
              </w:rPr>
            </w:pPr>
          </w:p>
          <w:p w14:paraId="22BF01B4" w14:textId="084C78F1" w:rsidR="00883BF1" w:rsidRPr="00193306" w:rsidRDefault="00193306" w:rsidP="00E62411">
            <w:pPr>
              <w:numPr>
                <w:ilvl w:val="0"/>
                <w:numId w:val="28"/>
              </w:numPr>
              <w:spacing w:before="0" w:after="0"/>
              <w:ind w:leftChars="100" w:left="620"/>
              <w:rPr>
                <w:bCs/>
                <w:lang w:eastAsia="en-GB"/>
              </w:rPr>
            </w:pPr>
            <w:r w:rsidRPr="00193306">
              <w:rPr>
                <w:rFonts w:hint="eastAsia"/>
                <w:bCs/>
                <w:lang w:eastAsia="zh-CN"/>
              </w:rPr>
              <w:t>S</w:t>
            </w:r>
            <w:r w:rsidRPr="00193306">
              <w:rPr>
                <w:bCs/>
                <w:lang w:eastAsia="zh-CN"/>
              </w:rPr>
              <w:t xml:space="preserve">pecify </w:t>
            </w:r>
            <w:r w:rsidRPr="00193306">
              <w:rPr>
                <w:bCs/>
                <w:highlight w:val="yellow"/>
                <w:lang w:eastAsia="zh-CN"/>
              </w:rPr>
              <w:t>the corresponding RRM</w:t>
            </w:r>
            <w:r w:rsidRPr="00193306">
              <w:rPr>
                <w:bCs/>
                <w:lang w:eastAsia="zh-CN"/>
              </w:rPr>
              <w:t>/RF core requirements, if necessary, for the above features [RAN4]</w:t>
            </w:r>
          </w:p>
        </w:tc>
      </w:tr>
    </w:tbl>
    <w:p w14:paraId="12972A5B" w14:textId="618FDF2A" w:rsidR="00E62411" w:rsidRDefault="003C2F62" w:rsidP="00E62411">
      <w:r w:rsidRPr="00536CC1">
        <w:t xml:space="preserve">In this paper we provide our </w:t>
      </w:r>
      <w:r w:rsidR="00883BF1">
        <w:t xml:space="preserve">initial </w:t>
      </w:r>
      <w:r w:rsidRPr="00536CC1">
        <w:t>views on</w:t>
      </w:r>
      <w:r w:rsidR="0026404E">
        <w:t xml:space="preserve"> </w:t>
      </w:r>
      <w:r w:rsidR="00883BF1">
        <w:t>RRM aspects that are related to the discussions within WI scope</w:t>
      </w:r>
      <w:r w:rsidR="002A3FC8">
        <w:t>.</w:t>
      </w:r>
    </w:p>
    <w:p w14:paraId="7A73CE75" w14:textId="548A0372" w:rsidR="00EB6DB3" w:rsidRDefault="00EB6DB3" w:rsidP="006850C8">
      <w:pPr>
        <w:pStyle w:val="Heading1"/>
      </w:pPr>
      <w:r>
        <w:t>Discussion</w:t>
      </w:r>
    </w:p>
    <w:p w14:paraId="026DB5DB" w14:textId="72928A46" w:rsidR="00182B74" w:rsidRDefault="00193306" w:rsidP="000572F6">
      <w:pPr>
        <w:pStyle w:val="Heading2"/>
        <w:ind w:left="567"/>
      </w:pPr>
      <w:r>
        <w:t>SSB-less SCell in inter-band CA</w:t>
      </w:r>
    </w:p>
    <w:p w14:paraId="5D8A4C84" w14:textId="112C1FDB" w:rsidR="00840947" w:rsidRDefault="00840947" w:rsidP="00182B74">
      <w:r>
        <w:t xml:space="preserve">The FR1 SCell activation requirements for SSB-less target intra-band SCell which is contiguous in frequency with the PCell were at first introduced in the Rel-15 specification. The idea is that the UE is </w:t>
      </w:r>
      <w:r w:rsidR="00DD2512">
        <w:t xml:space="preserve">supposed </w:t>
      </w:r>
      <w:r>
        <w:t xml:space="preserve">to use the information on </w:t>
      </w:r>
      <w:r>
        <w:lastRenderedPageBreak/>
        <w:t xml:space="preserve">the PCell to derive needed </w:t>
      </w:r>
      <w:r w:rsidR="00927F65">
        <w:t>information</w:t>
      </w:r>
      <w:r>
        <w:t xml:space="preserve"> in order to activate the intra-band contiguous target SCell. Indeed, there are prerequisite conditions to be met to facilitate the applicability of the requirements.</w:t>
      </w:r>
    </w:p>
    <w:tbl>
      <w:tblPr>
        <w:tblStyle w:val="TableGrid"/>
        <w:tblW w:w="0" w:type="auto"/>
        <w:tblLook w:val="04A0" w:firstRow="1" w:lastRow="0" w:firstColumn="1" w:lastColumn="0" w:noHBand="0" w:noVBand="1"/>
      </w:tblPr>
      <w:tblGrid>
        <w:gridCol w:w="9629"/>
      </w:tblGrid>
      <w:tr w:rsidR="00840947" w14:paraId="0FCDF4AB" w14:textId="77777777" w:rsidTr="00840947">
        <w:tc>
          <w:tcPr>
            <w:tcW w:w="9629" w:type="dxa"/>
          </w:tcPr>
          <w:p w14:paraId="602B4203" w14:textId="77777777" w:rsidR="00840947" w:rsidRDefault="00840947" w:rsidP="00840947">
            <w:r>
              <w:t>If the SCell being activated belongs to FR1 and if there is at least one active serving cell contiguous to the SCell on that FR1 band, if the UE is not provided with SSB configuration (absoluteFrequencySSB) nor SMTC configuration for the target SCell, Tactivation_time is 3 ms for UE supporting scellWithoutSSB, provided</w:t>
            </w:r>
          </w:p>
          <w:p w14:paraId="7690498D" w14:textId="77777777" w:rsidR="00840947" w:rsidRDefault="00840947" w:rsidP="00840947">
            <w:r>
              <w:t>-</w:t>
            </w:r>
            <w:r>
              <w:tab/>
              <w:t xml:space="preserve">The RTD between the target SCell and the contiguous active serving cell is within within ±260ns, and </w:t>
            </w:r>
          </w:p>
          <w:p w14:paraId="186293FF" w14:textId="77777777" w:rsidR="00840947" w:rsidRDefault="00840947" w:rsidP="00840947">
            <w:r>
              <w:t>-</w:t>
            </w:r>
            <w:r>
              <w:tab/>
              <w:t xml:space="preserve">The difference of the reception power with the contiguous active serving cell is &lt;= 6dB, and </w:t>
            </w:r>
          </w:p>
          <w:p w14:paraId="2C81EF81" w14:textId="18D45529" w:rsidR="00840947" w:rsidRDefault="00840947" w:rsidP="00840947">
            <w:r>
              <w:t>-</w:t>
            </w:r>
            <w:r>
              <w:tab/>
              <w:t>The RS(s) of SCell being activated is (are) QCL-TypeA with TRS(s) of the SCell being activated, and the TRS(s) of the SCell being activated is (are) further QCL-TypeC with SSB(s) of any active serving cell that is contiguous to the SCell being activated on that FR1 band.</w:t>
            </w:r>
          </w:p>
        </w:tc>
      </w:tr>
    </w:tbl>
    <w:p w14:paraId="682DBB3F" w14:textId="641B38F0" w:rsidR="00840947" w:rsidRDefault="00840947" w:rsidP="00182B74">
      <w:r>
        <w:t>In the network energy saving work item, we have the below objective,</w:t>
      </w:r>
    </w:p>
    <w:tbl>
      <w:tblPr>
        <w:tblStyle w:val="TableGrid"/>
        <w:tblW w:w="0" w:type="auto"/>
        <w:tblLook w:val="04A0" w:firstRow="1" w:lastRow="0" w:firstColumn="1" w:lastColumn="0" w:noHBand="0" w:noVBand="1"/>
      </w:tblPr>
      <w:tblGrid>
        <w:gridCol w:w="9629"/>
      </w:tblGrid>
      <w:tr w:rsidR="00840947" w14:paraId="781AE2E9" w14:textId="77777777" w:rsidTr="00840947">
        <w:tc>
          <w:tcPr>
            <w:tcW w:w="9629" w:type="dxa"/>
          </w:tcPr>
          <w:p w14:paraId="1C86BD5A" w14:textId="7A520111" w:rsidR="00840947" w:rsidRPr="00840947" w:rsidRDefault="00840947" w:rsidP="00182B74">
            <w:pPr>
              <w:numPr>
                <w:ilvl w:val="0"/>
                <w:numId w:val="30"/>
              </w:numPr>
              <w:spacing w:before="0" w:after="0"/>
              <w:rPr>
                <w:bCs/>
                <w:lang w:eastAsia="en-GB"/>
              </w:rPr>
            </w:pPr>
            <w:r w:rsidRPr="00193306">
              <w:rPr>
                <w:bCs/>
                <w:lang w:eastAsia="en-GB"/>
              </w:rPr>
              <w:t xml:space="preserve">Specify </w:t>
            </w:r>
            <w:r w:rsidRPr="00193306">
              <w:rPr>
                <w:bCs/>
                <w:highlight w:val="yellow"/>
                <w:lang w:eastAsia="en-GB"/>
              </w:rPr>
              <w:t>SSB-less SCell operation</w:t>
            </w:r>
            <w:r w:rsidRPr="00193306">
              <w:rPr>
                <w:bCs/>
                <w:lang w:eastAsia="en-GB"/>
              </w:rPr>
              <w:t xml:space="preserve">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tc>
      </w:tr>
    </w:tbl>
    <w:p w14:paraId="03643219" w14:textId="0A1AA68A" w:rsidR="00840947" w:rsidRDefault="00840947" w:rsidP="00182B74">
      <w:r>
        <w:t xml:space="preserve">This is to extend the activation requirements of SSB-less SCell to also support inter-band CA. It is natural that the idea of this objective is the same as in the previous spec about intra-band contiguous CA: the UE is </w:t>
      </w:r>
      <w:r w:rsidR="002F6E94">
        <w:t>supposed</w:t>
      </w:r>
      <w:r>
        <w:t xml:space="preserve"> to make use of reference signals transmitted in another carrier to derive needed info on the target SCell without SSB transmitted. </w:t>
      </w:r>
    </w:p>
    <w:p w14:paraId="15D0D750" w14:textId="61A61C3E" w:rsidR="00B93D8F" w:rsidRDefault="00B93D8F" w:rsidP="00182B74">
      <w:r>
        <w:t>In order to extend the applicability to inter-band CA, we need to examine all the prerequisite conditions to see if there is need to modify or apply without change.</w:t>
      </w:r>
    </w:p>
    <w:p w14:paraId="3C96505D" w14:textId="7C6EC23C" w:rsidR="00B93D8F" w:rsidRPr="00B93D8F" w:rsidRDefault="00B93D8F" w:rsidP="00182B74">
      <w:pPr>
        <w:rPr>
          <w:b/>
          <w:bCs/>
          <w:i/>
          <w:iCs/>
          <w:u w:val="single"/>
        </w:rPr>
      </w:pPr>
      <w:r w:rsidRPr="00B93D8F">
        <w:rPr>
          <w:b/>
          <w:bCs/>
          <w:i/>
          <w:iCs/>
          <w:u w:val="single"/>
        </w:rPr>
        <w:t>Reference timing difference</w:t>
      </w:r>
    </w:p>
    <w:p w14:paraId="401E7E12" w14:textId="146FF2D2" w:rsidR="00B93D8F" w:rsidRDefault="00183468" w:rsidP="00182B74">
      <w:r>
        <w:t>For intra-band contiguous cases, i</w:t>
      </w:r>
      <w:r w:rsidR="00B93D8F">
        <w:t xml:space="preserve">t is required that the reference timing difference is less than 260ns between the two intra-band contiguous cells. But in inter-band CA cases, it is difficult to have RTD between two cells less than 3us, even when they are collocated deployed. </w:t>
      </w:r>
      <w:r w:rsidR="00EA699E">
        <w:t xml:space="preserve">260ns cannot be easily achieved when the frequency separation between the carriers are large. </w:t>
      </w:r>
      <w:r w:rsidR="00B93D8F">
        <w:t xml:space="preserve">This can be seen in the MRTD and MTTD requirements specified for the inter-band CA deployments. Please see the below copy of the MRTD requirements </w:t>
      </w:r>
      <w:r w:rsidR="00EA699E">
        <w:t xml:space="preserve">specified in TS 38.133 </w:t>
      </w:r>
      <w:r w:rsidR="00B93D8F">
        <w:t>where</w:t>
      </w:r>
      <w:r w:rsidR="00B93D8F" w:rsidRPr="00B93D8F">
        <w:t xml:space="preserve"> </w:t>
      </w:r>
      <w:r w:rsidR="00B93D8F">
        <w:t>33us considers 3us RTD and 31us propagation delay.</w:t>
      </w:r>
    </w:p>
    <w:tbl>
      <w:tblPr>
        <w:tblStyle w:val="TableGrid"/>
        <w:tblW w:w="0" w:type="auto"/>
        <w:tblLook w:val="04A0" w:firstRow="1" w:lastRow="0" w:firstColumn="1" w:lastColumn="0" w:noHBand="0" w:noVBand="1"/>
      </w:tblPr>
      <w:tblGrid>
        <w:gridCol w:w="9629"/>
      </w:tblGrid>
      <w:tr w:rsidR="00B93D8F" w14:paraId="748F06DC" w14:textId="77777777" w:rsidTr="00B93D8F">
        <w:tc>
          <w:tcPr>
            <w:tcW w:w="9629" w:type="dxa"/>
          </w:tcPr>
          <w:p w14:paraId="2BB0C660" w14:textId="77777777" w:rsidR="00B93D8F" w:rsidRPr="00B93D8F" w:rsidRDefault="00B93D8F" w:rsidP="00B93D8F">
            <w:pPr>
              <w:keepNext/>
              <w:keepLines/>
              <w:spacing w:before="60" w:after="180"/>
              <w:jc w:val="center"/>
              <w:textAlignment w:val="auto"/>
              <w:rPr>
                <w:rFonts w:ascii="Arial" w:eastAsia="Malgun Gothic" w:hAnsi="Arial" w:cs="Arial"/>
                <w:b/>
                <w:sz w:val="22"/>
                <w:szCs w:val="22"/>
                <w:lang w:eastAsia="ko-KR"/>
              </w:rPr>
            </w:pPr>
            <w:r w:rsidRPr="00B93D8F">
              <w:rPr>
                <w:rFonts w:ascii="Arial" w:eastAsia="Times New Roman" w:hAnsi="Arial" w:cs="Arial"/>
                <w:b/>
                <w:sz w:val="22"/>
                <w:szCs w:val="22"/>
                <w:lang w:val="ru-RU" w:eastAsia="en-GB"/>
              </w:rPr>
              <w:t>Table 7.6.</w:t>
            </w:r>
            <w:r w:rsidRPr="00B93D8F">
              <w:rPr>
                <w:rFonts w:ascii="Arial" w:eastAsia="Malgun Gothic" w:hAnsi="Arial" w:cs="Arial"/>
                <w:b/>
                <w:sz w:val="22"/>
                <w:szCs w:val="22"/>
                <w:lang w:val="ru-RU" w:eastAsia="en-GB"/>
              </w:rPr>
              <w:t>4</w:t>
            </w:r>
            <w:r w:rsidRPr="00B93D8F">
              <w:rPr>
                <w:rFonts w:ascii="Arial" w:eastAsia="Times New Roman" w:hAnsi="Arial" w:cs="Arial"/>
                <w:b/>
                <w:sz w:val="22"/>
                <w:szCs w:val="22"/>
                <w:lang w:val="ru-RU" w:eastAsia="en-GB"/>
              </w:rPr>
              <w:t>-2</w:t>
            </w:r>
            <w:r w:rsidRPr="00B93D8F">
              <w:rPr>
                <w:rFonts w:ascii="Arial" w:eastAsia="Times New Roman" w:hAnsi="Arial" w:cs="Arial"/>
                <w:b/>
                <w:sz w:val="22"/>
                <w:szCs w:val="22"/>
                <w:lang w:val="ru-RU" w:eastAsia="ko-KR"/>
              </w:rPr>
              <w:t>:</w:t>
            </w:r>
            <w:r w:rsidRPr="00B93D8F">
              <w:rPr>
                <w:rFonts w:ascii="Arial" w:eastAsia="Times New Roman" w:hAnsi="Arial" w:cs="Arial"/>
                <w:b/>
                <w:sz w:val="22"/>
                <w:szCs w:val="22"/>
                <w:lang w:val="ru-RU" w:eastAsia="en-G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93D8F" w:rsidRPr="00B93D8F" w14:paraId="27A04568" w14:textId="77777777" w:rsidTr="00B93D8F">
              <w:trPr>
                <w:jc w:val="center"/>
              </w:trPr>
              <w:tc>
                <w:tcPr>
                  <w:tcW w:w="2251" w:type="dxa"/>
                  <w:tcBorders>
                    <w:top w:val="single" w:sz="4" w:space="0" w:color="auto"/>
                    <w:left w:val="single" w:sz="4" w:space="0" w:color="auto"/>
                    <w:bottom w:val="single" w:sz="4" w:space="0" w:color="auto"/>
                    <w:right w:val="single" w:sz="4" w:space="0" w:color="auto"/>
                  </w:tcBorders>
                  <w:hideMark/>
                </w:tcPr>
                <w:p w14:paraId="37B71642" w14:textId="77777777" w:rsidR="00B93D8F" w:rsidRPr="00B93D8F" w:rsidRDefault="00B93D8F" w:rsidP="00B93D8F">
                  <w:pPr>
                    <w:keepNext/>
                    <w:keepLines/>
                    <w:spacing w:before="0" w:after="0"/>
                    <w:jc w:val="center"/>
                    <w:textAlignment w:val="auto"/>
                    <w:rPr>
                      <w:rFonts w:ascii="Arial" w:eastAsia="Times New Roman" w:hAnsi="Arial" w:cs="Arial"/>
                      <w:b/>
                      <w:sz w:val="18"/>
                      <w:szCs w:val="22"/>
                      <w:lang w:val="ru-RU" w:eastAsia="en-GB"/>
                    </w:rPr>
                  </w:pPr>
                  <w:r w:rsidRPr="00B93D8F">
                    <w:rPr>
                      <w:rFonts w:ascii="Arial" w:eastAsia="Times New Roman" w:hAnsi="Arial" w:cs="Arial"/>
                      <w:b/>
                      <w:sz w:val="18"/>
                      <w:szCs w:val="22"/>
                      <w:lang w:val="ru-RU" w:eastAsia="en-GB"/>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05DDC376" w14:textId="77777777" w:rsidR="00B93D8F" w:rsidRPr="00B93D8F" w:rsidRDefault="00B93D8F" w:rsidP="00B93D8F">
                  <w:pPr>
                    <w:keepNext/>
                    <w:keepLines/>
                    <w:spacing w:before="0" w:after="0"/>
                    <w:jc w:val="center"/>
                    <w:textAlignment w:val="auto"/>
                    <w:rPr>
                      <w:rFonts w:ascii="Arial" w:eastAsia="Times New Roman" w:hAnsi="Arial" w:cs="Arial"/>
                      <w:b/>
                      <w:sz w:val="18"/>
                      <w:szCs w:val="22"/>
                      <w:lang w:val="ru-RU" w:eastAsia="en-GB"/>
                    </w:rPr>
                  </w:pPr>
                  <w:r w:rsidRPr="00B93D8F">
                    <w:rPr>
                      <w:rFonts w:ascii="Arial" w:eastAsia="Times New Roman" w:hAnsi="Arial" w:cs="Arial"/>
                      <w:b/>
                      <w:sz w:val="18"/>
                      <w:szCs w:val="22"/>
                      <w:lang w:val="ru-RU" w:eastAsia="en-GB"/>
                    </w:rPr>
                    <w:t xml:space="preserve">Maximum receive timing difference (µs) </w:t>
                  </w:r>
                </w:p>
              </w:tc>
            </w:tr>
            <w:tr w:rsidR="00B93D8F" w:rsidRPr="00B93D8F" w14:paraId="3FA18AF7" w14:textId="77777777" w:rsidTr="00B93D8F">
              <w:trPr>
                <w:jc w:val="center"/>
              </w:trPr>
              <w:tc>
                <w:tcPr>
                  <w:tcW w:w="2251" w:type="dxa"/>
                  <w:tcBorders>
                    <w:top w:val="single" w:sz="4" w:space="0" w:color="auto"/>
                    <w:left w:val="single" w:sz="4" w:space="0" w:color="auto"/>
                    <w:bottom w:val="single" w:sz="4" w:space="0" w:color="auto"/>
                    <w:right w:val="single" w:sz="4" w:space="0" w:color="auto"/>
                  </w:tcBorders>
                  <w:hideMark/>
                </w:tcPr>
                <w:p w14:paraId="4A9381D2" w14:textId="77777777" w:rsidR="00B93D8F" w:rsidRPr="00B93D8F" w:rsidRDefault="00B93D8F" w:rsidP="00B93D8F">
                  <w:pPr>
                    <w:keepNext/>
                    <w:keepLines/>
                    <w:spacing w:before="0" w:after="0"/>
                    <w:jc w:val="center"/>
                    <w:textAlignment w:val="auto"/>
                    <w:rPr>
                      <w:rFonts w:ascii="Arial" w:eastAsia="Times New Roman" w:hAnsi="Arial" w:cs="Arial"/>
                      <w:sz w:val="18"/>
                      <w:szCs w:val="22"/>
                      <w:lang w:val="ru-RU" w:eastAsia="en-GB"/>
                    </w:rPr>
                  </w:pPr>
                  <w:r w:rsidRPr="00B93D8F">
                    <w:rPr>
                      <w:rFonts w:ascii="Arial" w:eastAsia="Times New Roman" w:hAnsi="Arial" w:cs="Arial"/>
                      <w:sz w:val="18"/>
                      <w:szCs w:val="22"/>
                      <w:lang w:val="ru-RU" w:eastAsia="en-GB"/>
                    </w:rPr>
                    <w:t>FR1</w:t>
                  </w:r>
                </w:p>
              </w:tc>
              <w:tc>
                <w:tcPr>
                  <w:tcW w:w="3003" w:type="dxa"/>
                  <w:tcBorders>
                    <w:top w:val="single" w:sz="4" w:space="0" w:color="auto"/>
                    <w:left w:val="single" w:sz="4" w:space="0" w:color="auto"/>
                    <w:bottom w:val="single" w:sz="4" w:space="0" w:color="auto"/>
                    <w:right w:val="single" w:sz="4" w:space="0" w:color="auto"/>
                  </w:tcBorders>
                  <w:hideMark/>
                </w:tcPr>
                <w:p w14:paraId="17E8235E" w14:textId="77777777" w:rsidR="00B93D8F" w:rsidRPr="00B93D8F" w:rsidRDefault="00B93D8F" w:rsidP="00B93D8F">
                  <w:pPr>
                    <w:keepNext/>
                    <w:keepLines/>
                    <w:spacing w:before="0" w:after="0"/>
                    <w:jc w:val="center"/>
                    <w:textAlignment w:val="auto"/>
                    <w:rPr>
                      <w:rFonts w:ascii="Arial" w:eastAsia="Times New Roman" w:hAnsi="Arial" w:cs="Arial"/>
                      <w:sz w:val="18"/>
                      <w:szCs w:val="22"/>
                      <w:lang w:val="ru-RU" w:eastAsia="en-GB"/>
                    </w:rPr>
                  </w:pPr>
                  <w:r w:rsidRPr="00B93D8F">
                    <w:rPr>
                      <w:rFonts w:ascii="Arial" w:eastAsia="Times New Roman" w:hAnsi="Arial" w:cs="Arial"/>
                      <w:sz w:val="18"/>
                      <w:szCs w:val="22"/>
                      <w:lang w:val="ru-RU" w:eastAsia="en-GB"/>
                    </w:rPr>
                    <w:t>33</w:t>
                  </w:r>
                </w:p>
              </w:tc>
            </w:tr>
          </w:tbl>
          <w:p w14:paraId="5C02DAC1" w14:textId="77777777" w:rsidR="00B93D8F" w:rsidRDefault="00B93D8F" w:rsidP="00182B74"/>
        </w:tc>
      </w:tr>
    </w:tbl>
    <w:p w14:paraId="5546864E" w14:textId="4274C411" w:rsidR="00B93D8F" w:rsidRDefault="00B93D8F" w:rsidP="00182B74">
      <w:r>
        <w:t xml:space="preserve">Thus when it comes to the inter-band CA cases, in order to apply the 3ms SCell activation delay on the SSB-less target cell, it is required as one of the prerequisite conditions that </w:t>
      </w:r>
    </w:p>
    <w:p w14:paraId="1492AA47" w14:textId="1F1DBF0A" w:rsidR="00B93D8F" w:rsidRDefault="00B93D8F" w:rsidP="00B93D8F">
      <w:pPr>
        <w:pStyle w:val="ListParagraph"/>
        <w:numPr>
          <w:ilvl w:val="0"/>
          <w:numId w:val="32"/>
        </w:numPr>
      </w:pPr>
      <w:r>
        <w:t xml:space="preserve">The RTD between the target inter-band SCell (without SSB) and the </w:t>
      </w:r>
      <w:r w:rsidR="002803DD">
        <w:t xml:space="preserve">active </w:t>
      </w:r>
      <w:r>
        <w:t>serving cell with SSB is within ±3us</w:t>
      </w:r>
    </w:p>
    <w:p w14:paraId="4B5B1A06" w14:textId="3E08AB25" w:rsidR="00B93D8F" w:rsidRPr="00B93D8F" w:rsidRDefault="00B93D8F" w:rsidP="00B93D8F">
      <w:pPr>
        <w:rPr>
          <w:b/>
          <w:bCs/>
        </w:rPr>
      </w:pPr>
      <w:r w:rsidRPr="00B93D8F">
        <w:rPr>
          <w:b/>
          <w:bCs/>
        </w:rPr>
        <w:t>Proposal</w:t>
      </w:r>
      <w:r w:rsidR="00732D44">
        <w:rPr>
          <w:b/>
          <w:bCs/>
        </w:rPr>
        <w:t xml:space="preserve"> 1</w:t>
      </w:r>
      <w:r w:rsidRPr="00B93D8F">
        <w:rPr>
          <w:b/>
          <w:bCs/>
        </w:rPr>
        <w:t xml:space="preserve">: The inter-band SSB-less SCell activation delay requirements apply when </w:t>
      </w:r>
      <w:r w:rsidR="00036272">
        <w:rPr>
          <w:b/>
          <w:bCs/>
        </w:rPr>
        <w:t>RTD (</w:t>
      </w:r>
      <w:r w:rsidRPr="00B93D8F">
        <w:rPr>
          <w:b/>
          <w:bCs/>
        </w:rPr>
        <w:t xml:space="preserve">the </w:t>
      </w:r>
      <w:r w:rsidR="00B95EA0" w:rsidRPr="00B95EA0">
        <w:rPr>
          <w:b/>
          <w:bCs/>
        </w:rPr>
        <w:t>relative receive timing difference among the closest slot timing boundaries</w:t>
      </w:r>
      <w:r w:rsidR="00036272">
        <w:rPr>
          <w:b/>
          <w:bCs/>
        </w:rPr>
        <w:t>)</w:t>
      </w:r>
      <w:r w:rsidR="00B95EA0" w:rsidRPr="00B95EA0">
        <w:rPr>
          <w:b/>
          <w:bCs/>
        </w:rPr>
        <w:t xml:space="preserve"> of </w:t>
      </w:r>
      <w:r w:rsidRPr="00B93D8F">
        <w:rPr>
          <w:b/>
          <w:bCs/>
        </w:rPr>
        <w:t xml:space="preserve">the target inter-band SCell (without SSB) and the </w:t>
      </w:r>
      <w:r w:rsidR="002803DD">
        <w:rPr>
          <w:b/>
          <w:bCs/>
        </w:rPr>
        <w:t xml:space="preserve">active </w:t>
      </w:r>
      <w:r w:rsidRPr="00B93D8F">
        <w:rPr>
          <w:b/>
          <w:bCs/>
        </w:rPr>
        <w:t>serving cell with SSB is within ±3us.</w:t>
      </w:r>
    </w:p>
    <w:p w14:paraId="1808D98A" w14:textId="4A8D2333" w:rsidR="00B93D8F" w:rsidRDefault="00B93D8F" w:rsidP="00182B74">
      <w:r>
        <w:t>Of course there are cases where potential enhancements on 3us RTD can be considered</w:t>
      </w:r>
      <w:r w:rsidR="002803DD">
        <w:t xml:space="preserve"> when the bands are close to each other</w:t>
      </w:r>
      <w:r>
        <w:t xml:space="preserve"> but in order to have a unified requirement</w:t>
      </w:r>
      <w:r w:rsidR="002803DD">
        <w:t xml:space="preserve"> RAN4 needs to consider the minimum requirements.</w:t>
      </w:r>
    </w:p>
    <w:p w14:paraId="230B52D6" w14:textId="58472500" w:rsidR="00B93D8F" w:rsidRPr="002803DD" w:rsidRDefault="002803DD" w:rsidP="00182B74">
      <w:pPr>
        <w:rPr>
          <w:b/>
          <w:bCs/>
          <w:i/>
          <w:iCs/>
          <w:u w:val="single"/>
        </w:rPr>
      </w:pPr>
      <w:r w:rsidRPr="002803DD">
        <w:rPr>
          <w:b/>
          <w:bCs/>
          <w:i/>
          <w:iCs/>
          <w:u w:val="single"/>
        </w:rPr>
        <w:t xml:space="preserve">Power </w:t>
      </w:r>
      <w:r w:rsidR="00136953">
        <w:rPr>
          <w:b/>
          <w:bCs/>
          <w:i/>
          <w:iCs/>
          <w:u w:val="single"/>
        </w:rPr>
        <w:t>imbalance</w:t>
      </w:r>
      <w:r w:rsidRPr="002803DD">
        <w:rPr>
          <w:b/>
          <w:bCs/>
          <w:i/>
          <w:iCs/>
          <w:u w:val="single"/>
        </w:rPr>
        <w:t xml:space="preserve"> </w:t>
      </w:r>
    </w:p>
    <w:p w14:paraId="5466CEA4" w14:textId="64BBFBAC" w:rsidR="002803DD" w:rsidRDefault="002803DD" w:rsidP="00182B74">
      <w:r>
        <w:t xml:space="preserve">The power difference between the target cell and the reference cell configured with SSB is also important for the UE to correctly carry out SCell activation on the SSB-less target. In order for the UE to use the measured results on the SSB cell to derive info to the SSB-less target cell, the power difference between the two cells has to be smaller than a certain threshold. In the intra-band contiguous case, &lt;6dB is required. </w:t>
      </w:r>
    </w:p>
    <w:p w14:paraId="1AB2D505" w14:textId="43A7DC7E" w:rsidR="00136953" w:rsidRDefault="00136953" w:rsidP="00182B74">
      <w:r>
        <w:t>Though it is often seen that between inter-band carriers, the power imbalance is much larger compared to intra-band cases, we need to guarantee the SCell activation performance under a correct deployment and configuration from the network. Since we assume that this kind of requirement only applies to collocated scenarios, we propose to keep the 6dB maximum imbalance value.</w:t>
      </w:r>
    </w:p>
    <w:p w14:paraId="2F31CFED" w14:textId="5A2822F8" w:rsidR="00B93D8F" w:rsidRDefault="00136953" w:rsidP="00182B74">
      <w:pPr>
        <w:rPr>
          <w:b/>
          <w:bCs/>
        </w:rPr>
      </w:pPr>
      <w:r w:rsidRPr="00136953">
        <w:rPr>
          <w:b/>
          <w:bCs/>
        </w:rPr>
        <w:lastRenderedPageBreak/>
        <w:t>Proposal</w:t>
      </w:r>
      <w:r w:rsidR="00732D44">
        <w:rPr>
          <w:b/>
          <w:bCs/>
        </w:rPr>
        <w:t xml:space="preserve"> 2</w:t>
      </w:r>
      <w:r w:rsidRPr="00136953">
        <w:rPr>
          <w:b/>
          <w:bCs/>
        </w:rPr>
        <w:t>: The inter-band SSB-less SCell activation delay requirements apply then the difference of the received powers between target SCell and the active serving cell with SSB is &lt;= 6dB.</w:t>
      </w:r>
    </w:p>
    <w:p w14:paraId="564B9A51" w14:textId="77777777" w:rsidR="00AA4DFB" w:rsidRPr="00AA4DFB" w:rsidRDefault="00AA4DFB" w:rsidP="00182B74">
      <w:pPr>
        <w:rPr>
          <w:b/>
          <w:bCs/>
        </w:rPr>
      </w:pPr>
    </w:p>
    <w:p w14:paraId="6F598F07" w14:textId="3D039031" w:rsidR="00B93D8F" w:rsidRPr="00AA4DFB" w:rsidRDefault="00AA4DFB" w:rsidP="00182B74">
      <w:pPr>
        <w:rPr>
          <w:b/>
          <w:bCs/>
          <w:i/>
          <w:iCs/>
          <w:u w:val="single"/>
        </w:rPr>
      </w:pPr>
      <w:r w:rsidRPr="00AA4DFB">
        <w:rPr>
          <w:b/>
          <w:bCs/>
          <w:i/>
          <w:iCs/>
          <w:u w:val="single"/>
        </w:rPr>
        <w:t>QCL relations</w:t>
      </w:r>
      <w:r>
        <w:rPr>
          <w:b/>
          <w:bCs/>
          <w:i/>
          <w:iCs/>
          <w:u w:val="single"/>
        </w:rPr>
        <w:t xml:space="preserve"> among RS-s</w:t>
      </w:r>
    </w:p>
    <w:p w14:paraId="2B06781C" w14:textId="5799CCD7" w:rsidR="00AA4DFB" w:rsidRDefault="00265ECD" w:rsidP="00182B74">
      <w:r>
        <w:t xml:space="preserve">The primary condition to apply the 3ms activation requirement is that TRS (tracking reference signal, periodic non zero powered CSI-RS) has to be guaranteed on the target SCell. Even with intra-band contiguous cases, TRS is required to be transmitted on the target SCell and the TRS has to be QCLed with the SSB transmitted in the other serving cell. </w:t>
      </w:r>
    </w:p>
    <w:p w14:paraId="749AFE1C" w14:textId="708D6BDA" w:rsidR="00265ECD" w:rsidRDefault="00040C74" w:rsidP="00182B74">
      <w:r>
        <w:t>Once TRS is transmitted on the target SCell, the UE is able to use the TRS to carry out frequency/time tracking and CSI measurements and reporting. The performance then is largely guaranteed and that is why in the existing activation requirements for intra-band contiguous CA, TRS is transmitted on the target cell.</w:t>
      </w:r>
    </w:p>
    <w:p w14:paraId="7C6F8825" w14:textId="30C972BD" w:rsidR="00040C74" w:rsidRPr="00040C74" w:rsidRDefault="00040C74" w:rsidP="00182B74">
      <w:pPr>
        <w:rPr>
          <w:b/>
          <w:bCs/>
        </w:rPr>
      </w:pPr>
      <w:r w:rsidRPr="00040C74">
        <w:rPr>
          <w:b/>
          <w:bCs/>
        </w:rPr>
        <w:t>Proposal</w:t>
      </w:r>
      <w:r w:rsidR="00732D44">
        <w:rPr>
          <w:b/>
          <w:bCs/>
        </w:rPr>
        <w:t xml:space="preserve"> 3</w:t>
      </w:r>
      <w:r w:rsidRPr="00040C74">
        <w:rPr>
          <w:b/>
          <w:bCs/>
        </w:rPr>
        <w:t xml:space="preserve">: TRS which is QCLed with the SSB on an active serving cell is transmitted on the inter-band SSB-less target SCell to guarantee fair performance of the UE activation. </w:t>
      </w:r>
    </w:p>
    <w:p w14:paraId="32806CEE" w14:textId="7AB04F62" w:rsidR="00040C74" w:rsidRDefault="00040C74" w:rsidP="00182B74">
      <w:r>
        <w:t>However</w:t>
      </w:r>
      <w:r w:rsidR="00D8735B">
        <w:t>,</w:t>
      </w:r>
      <w:r>
        <w:t xml:space="preserve"> transmission of TRS consumes </w:t>
      </w:r>
      <w:r w:rsidR="00D8735B">
        <w:t xml:space="preserve">considerable amount of energy from the network and it is pretty much the similar portion compared to the SSB transmission. </w:t>
      </w:r>
      <w:r>
        <w:t>On the contrary, when TRS</w:t>
      </w:r>
      <w:r w:rsidR="00D8735B">
        <w:t xml:space="preserve"> is not transmitted the UE possibly uses aperiodic CSI-RS instead.</w:t>
      </w:r>
    </w:p>
    <w:p w14:paraId="58E252B1" w14:textId="7B8F98E6" w:rsidR="00D8735B" w:rsidRDefault="00D8735B" w:rsidP="00182B74">
      <w:r>
        <w:t>When UE uses aperiodic CSI-RS on the target SCell to carry out tracking and measurements, the transmitted CSI-RS has to be QCLed with the SSB/TRS on the reference active serving cell. In order for the activation requirements to apply, the configured aperiodic CSI-RS for inter-band SSB-less SCell activation is QCLed type A to the TRS of the SSB serving cell and it is QCLed type C to the SSB from the SSB serving cell.</w:t>
      </w:r>
    </w:p>
    <w:p w14:paraId="558AA25D" w14:textId="2AF73DEA" w:rsidR="00840947" w:rsidRPr="00D8735B" w:rsidRDefault="00D8735B" w:rsidP="00182B74">
      <w:pPr>
        <w:rPr>
          <w:b/>
          <w:bCs/>
        </w:rPr>
      </w:pPr>
      <w:r w:rsidRPr="00D8735B">
        <w:rPr>
          <w:b/>
          <w:bCs/>
        </w:rPr>
        <w:t>Proposal</w:t>
      </w:r>
      <w:r w:rsidR="00732D44">
        <w:rPr>
          <w:b/>
          <w:bCs/>
        </w:rPr>
        <w:t xml:space="preserve"> 4</w:t>
      </w:r>
      <w:r w:rsidRPr="00D8735B">
        <w:rPr>
          <w:b/>
          <w:bCs/>
        </w:rPr>
        <w:t>: when TRS is not configured on the target SCell, the configured aperiodic CSI-RS for inter-band SSB-less SCell activation is QCLed type A to the TRS of the SSB serving cell and it is QCLed type C to the SSB from the SSB serving cell.</w:t>
      </w:r>
    </w:p>
    <w:p w14:paraId="6725F81F" w14:textId="0533B546" w:rsidR="00060600" w:rsidRDefault="00D8735B" w:rsidP="004B191B">
      <w:pPr>
        <w:pStyle w:val="Heading2"/>
        <w:tabs>
          <w:tab w:val="num" w:pos="567"/>
        </w:tabs>
        <w:ind w:left="567"/>
      </w:pPr>
      <w:r>
        <w:t>SSB-less SCell in intra-band non-contiguous CA</w:t>
      </w:r>
    </w:p>
    <w:p w14:paraId="048135C8" w14:textId="17C05450" w:rsidR="00B75C8C" w:rsidRDefault="00B75C8C" w:rsidP="00060600">
      <w:r>
        <w:t>There is no reason to leave intra-band non-contiguous CA deployment out of scope in terms of discussions on the 3ms activation requirements for SSB-less SCell.</w:t>
      </w:r>
    </w:p>
    <w:p w14:paraId="486F3690" w14:textId="7C054B1C" w:rsidR="00B75C8C" w:rsidRDefault="00B75C8C" w:rsidP="00060600">
      <w:r>
        <w:t>At least all the requirements specified for inter-band CA can be applied to intra-band non-contiguous CA. We propose that together with the specification of inter-band cases, RAN4 specifies requirements also for intra-band non-contiguous CA.</w:t>
      </w:r>
    </w:p>
    <w:p w14:paraId="47942430" w14:textId="773AD83E" w:rsidR="00B75C8C" w:rsidRDefault="00B75C8C" w:rsidP="00060600">
      <w:pPr>
        <w:rPr>
          <w:b/>
          <w:bCs/>
        </w:rPr>
      </w:pPr>
      <w:r w:rsidRPr="00B75C8C">
        <w:rPr>
          <w:b/>
          <w:bCs/>
        </w:rPr>
        <w:t>Proposal</w:t>
      </w:r>
      <w:r w:rsidR="00977FC2">
        <w:rPr>
          <w:b/>
          <w:bCs/>
        </w:rPr>
        <w:t xml:space="preserve"> 5</w:t>
      </w:r>
      <w:r w:rsidRPr="00B75C8C">
        <w:rPr>
          <w:b/>
          <w:bCs/>
        </w:rPr>
        <w:t>: Together with the specification of inter-band cases, RAN4 specifies requirements also for intra-band non-contiguous CA.</w:t>
      </w:r>
    </w:p>
    <w:p w14:paraId="4EC9F01E" w14:textId="751D8285" w:rsidR="00C65043" w:rsidRPr="00B75C8C" w:rsidRDefault="00C65043" w:rsidP="00060600">
      <w:pPr>
        <w:rPr>
          <w:b/>
          <w:bCs/>
        </w:rPr>
      </w:pPr>
      <w:r>
        <w:rPr>
          <w:b/>
          <w:bCs/>
        </w:rPr>
        <w:t>Proposal</w:t>
      </w:r>
      <w:r w:rsidR="00977FC2">
        <w:rPr>
          <w:b/>
          <w:bCs/>
        </w:rPr>
        <w:t xml:space="preserve"> 6</w:t>
      </w:r>
      <w:r>
        <w:rPr>
          <w:b/>
          <w:bCs/>
        </w:rPr>
        <w:t>: Activation requirements specified for inter-band SSB-less SCell also apply to intra-band non-contiguous SSB-less SCell activation.</w:t>
      </w:r>
    </w:p>
    <w:p w14:paraId="33595BDC" w14:textId="5352ECDF" w:rsidR="003956F4" w:rsidRDefault="00391250" w:rsidP="003956F4">
      <w:pPr>
        <w:pStyle w:val="Heading2"/>
        <w:tabs>
          <w:tab w:val="num" w:pos="567"/>
        </w:tabs>
        <w:ind w:left="567"/>
      </w:pPr>
      <w:r>
        <w:t>Cell DTX/DRX</w:t>
      </w:r>
    </w:p>
    <w:p w14:paraId="66F7F5AA" w14:textId="3F6ECC12" w:rsidR="00B75C8C" w:rsidRDefault="007948D4" w:rsidP="006E4647">
      <w:pPr>
        <w:overflowPunct/>
        <w:autoSpaceDE/>
        <w:autoSpaceDN/>
        <w:adjustRightInd/>
        <w:spacing w:before="0" w:after="180"/>
        <w:textAlignment w:val="auto"/>
        <w:rPr>
          <w:rFonts w:eastAsia="?? ??"/>
        </w:rPr>
      </w:pPr>
      <w:r>
        <w:rPr>
          <w:rFonts w:eastAsia="?? ??"/>
        </w:rPr>
        <w:t>This part of the objectives is handled mainly in RAN2. The below box shows the agreements in RAN2 in the last WG meeting.</w:t>
      </w:r>
    </w:p>
    <w:p w14:paraId="782B2335" w14:textId="77777777" w:rsidR="007948D4" w:rsidRDefault="007948D4" w:rsidP="007948D4">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w:t>
      </w:r>
    </w:p>
    <w:p w14:paraId="29F28DEF" w14:textId="77777777" w:rsidR="007948D4" w:rsidRDefault="007948D4" w:rsidP="007948D4">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Pr>
          <w:lang w:val="en-US"/>
        </w:rPr>
        <w:t>There will be no impact to RACH, paging, and SIBs in idle/inactive for both gNB and Rel-18 and legacy UEs</w:t>
      </w:r>
    </w:p>
    <w:p w14:paraId="593BD008" w14:textId="77777777" w:rsidR="007948D4" w:rsidRDefault="007948D4" w:rsidP="007948D4">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Pr>
          <w:lang w:val="en-US"/>
        </w:rPr>
        <w:t>Rel-18 NES capable CONNECTED UE(s) can perform RACH and receive SIBs in non-active duration of cell DTX and/or DRX (i.e., same behavior for cell DTX and cell DRX).  No further enhancements for CBRA and CFRA will be pursued.</w:t>
      </w:r>
    </w:p>
    <w:p w14:paraId="66A8A450" w14:textId="68CF7D00" w:rsidR="007948D4" w:rsidRDefault="007948D4" w:rsidP="007948D4">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Pr>
          <w:lang w:val="en-US"/>
        </w:rPr>
        <w:t xml:space="preserve">Pattern configuration for cell DRX/DTX is common for Rel-18 UEs in the cell.   FFS whether we have DTX UE specific inactivity timer.  FFS on configuration signaling and stage 3.  </w:t>
      </w:r>
    </w:p>
    <w:p w14:paraId="6EB46FFE" w14:textId="77777777" w:rsidR="007948D4" w:rsidRDefault="007948D4" w:rsidP="007948D4">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Pr>
          <w:lang w:val="en-US"/>
        </w:rPr>
        <w:t xml:space="preserve">Confirm study item agreement that we can have separate DTX and DRX configuration.   We will focus on designing DTX/DRX for at least single configuration.  FFS whether multiple configuration of cell DTX or DRX will be supported.  </w:t>
      </w:r>
    </w:p>
    <w:p w14:paraId="60C36BC5" w14:textId="6FB6C0F6" w:rsidR="00B75C8C" w:rsidRDefault="007948D4" w:rsidP="006E4647">
      <w:pPr>
        <w:overflowPunct/>
        <w:autoSpaceDE/>
        <w:autoSpaceDN/>
        <w:adjustRightInd/>
        <w:spacing w:before="0" w:after="180"/>
        <w:textAlignment w:val="auto"/>
        <w:rPr>
          <w:rFonts w:eastAsia="?? ??"/>
        </w:rPr>
      </w:pPr>
      <w:r>
        <w:rPr>
          <w:rFonts w:eastAsia="?? ??"/>
          <w:lang w:val="en-US"/>
        </w:rPr>
        <w:lastRenderedPageBreak/>
        <w:t>The idea of the discussion is to try to align the cell DTX/DRX to existing UE DRX configurations so that all the individual UE-s will follow the cell DTX/DRX cycle in order to generally save energy at the network side. The detailed impact to RRM specification is not clear at the moment. We will wait until further design is agreed.</w:t>
      </w:r>
    </w:p>
    <w:p w14:paraId="5A7E1B26" w14:textId="1A67F74E" w:rsidR="00B75C8C" w:rsidRDefault="007948D4" w:rsidP="006E4647">
      <w:pPr>
        <w:overflowPunct/>
        <w:autoSpaceDE/>
        <w:autoSpaceDN/>
        <w:adjustRightInd/>
        <w:spacing w:before="0" w:after="180"/>
        <w:textAlignment w:val="auto"/>
        <w:rPr>
          <w:rFonts w:eastAsia="?? ??"/>
        </w:rPr>
      </w:pPr>
      <w:r>
        <w:rPr>
          <w:rFonts w:eastAsia="?? ??"/>
        </w:rPr>
        <w:t>There are also other objectives being discussed in either RAN1 or RAN2, say CHO, reselection enhancements, spatial and power domain enhancements. RAN4 waits for further conclusions related to them.</w:t>
      </w:r>
    </w:p>
    <w:p w14:paraId="06B0650C" w14:textId="77777777" w:rsidR="00F01182" w:rsidRPr="00146B4F" w:rsidRDefault="00F01182" w:rsidP="00F01182">
      <w:pPr>
        <w:pStyle w:val="Heading1"/>
      </w:pPr>
      <w:r w:rsidRPr="00146B4F">
        <w:t>Conclusion</w:t>
      </w:r>
    </w:p>
    <w:p w14:paraId="37D1705D" w14:textId="26BCD574" w:rsidR="003D0DDF" w:rsidRDefault="00977CFF" w:rsidP="00604C3A">
      <w:pPr>
        <w:tabs>
          <w:tab w:val="left" w:pos="709"/>
        </w:tabs>
        <w:spacing w:before="60" w:after="60"/>
        <w:jc w:val="both"/>
      </w:pPr>
      <w:r w:rsidRPr="00536CC1">
        <w:t xml:space="preserve">In this paper </w:t>
      </w:r>
      <w:r w:rsidR="00EC2639" w:rsidRPr="00536CC1">
        <w:t xml:space="preserve">we provide our </w:t>
      </w:r>
      <w:r w:rsidR="00EC2639">
        <w:t xml:space="preserve">initial </w:t>
      </w:r>
      <w:r w:rsidR="00EC2639" w:rsidRPr="00536CC1">
        <w:t>views on</w:t>
      </w:r>
      <w:r w:rsidR="00EC2639">
        <w:t xml:space="preserve"> RRM aspects that are related to the discussions within WI scope.</w:t>
      </w:r>
    </w:p>
    <w:p w14:paraId="4F6076F4" w14:textId="77777777" w:rsidR="0033182F" w:rsidRPr="00B93D8F" w:rsidRDefault="0033182F" w:rsidP="0033182F">
      <w:pPr>
        <w:rPr>
          <w:b/>
          <w:bCs/>
        </w:rPr>
      </w:pPr>
      <w:r w:rsidRPr="00B93D8F">
        <w:rPr>
          <w:b/>
          <w:bCs/>
        </w:rPr>
        <w:t>Proposal</w:t>
      </w:r>
      <w:r>
        <w:rPr>
          <w:b/>
          <w:bCs/>
        </w:rPr>
        <w:t xml:space="preserve"> 1</w:t>
      </w:r>
      <w:r w:rsidRPr="00B93D8F">
        <w:rPr>
          <w:b/>
          <w:bCs/>
        </w:rPr>
        <w:t xml:space="preserve">: The inter-band SSB-less SCell activation delay requirements apply when </w:t>
      </w:r>
      <w:r>
        <w:rPr>
          <w:b/>
          <w:bCs/>
        </w:rPr>
        <w:t>RTD (</w:t>
      </w:r>
      <w:r w:rsidRPr="00B93D8F">
        <w:rPr>
          <w:b/>
          <w:bCs/>
        </w:rPr>
        <w:t xml:space="preserve">the </w:t>
      </w:r>
      <w:r w:rsidRPr="00B95EA0">
        <w:rPr>
          <w:b/>
          <w:bCs/>
        </w:rPr>
        <w:t>relative receive timing difference among the closest slot timing boundaries</w:t>
      </w:r>
      <w:r>
        <w:rPr>
          <w:b/>
          <w:bCs/>
        </w:rPr>
        <w:t>)</w:t>
      </w:r>
      <w:r w:rsidRPr="00B95EA0">
        <w:rPr>
          <w:b/>
          <w:bCs/>
        </w:rPr>
        <w:t xml:space="preserve"> of </w:t>
      </w:r>
      <w:r w:rsidRPr="00B93D8F">
        <w:rPr>
          <w:b/>
          <w:bCs/>
        </w:rPr>
        <w:t xml:space="preserve">the target inter-band SCell (without SSB) and the </w:t>
      </w:r>
      <w:r>
        <w:rPr>
          <w:b/>
          <w:bCs/>
        </w:rPr>
        <w:t xml:space="preserve">active </w:t>
      </w:r>
      <w:r w:rsidRPr="00B93D8F">
        <w:rPr>
          <w:b/>
          <w:bCs/>
        </w:rPr>
        <w:t>serving cell with SSB is within ±3us.</w:t>
      </w:r>
    </w:p>
    <w:p w14:paraId="42C04E8D" w14:textId="77777777" w:rsidR="0033182F" w:rsidRDefault="0033182F" w:rsidP="0033182F">
      <w:pPr>
        <w:rPr>
          <w:b/>
          <w:bCs/>
        </w:rPr>
      </w:pPr>
      <w:r w:rsidRPr="00136953">
        <w:rPr>
          <w:b/>
          <w:bCs/>
        </w:rPr>
        <w:t>Proposal</w:t>
      </w:r>
      <w:r>
        <w:rPr>
          <w:b/>
          <w:bCs/>
        </w:rPr>
        <w:t xml:space="preserve"> 2</w:t>
      </w:r>
      <w:r w:rsidRPr="00136953">
        <w:rPr>
          <w:b/>
          <w:bCs/>
        </w:rPr>
        <w:t>: The inter-band SSB-less SCell activation delay requirements apply then the difference of the received powers between target SCell and the active serving cell with SSB is &lt;= 6dB.</w:t>
      </w:r>
    </w:p>
    <w:p w14:paraId="66923DE1" w14:textId="77777777" w:rsidR="0033182F" w:rsidRPr="00040C74" w:rsidRDefault="0033182F" w:rsidP="0033182F">
      <w:pPr>
        <w:rPr>
          <w:b/>
          <w:bCs/>
        </w:rPr>
      </w:pPr>
      <w:r w:rsidRPr="00040C74">
        <w:rPr>
          <w:b/>
          <w:bCs/>
        </w:rPr>
        <w:t>Proposal</w:t>
      </w:r>
      <w:r>
        <w:rPr>
          <w:b/>
          <w:bCs/>
        </w:rPr>
        <w:t xml:space="preserve"> 3</w:t>
      </w:r>
      <w:r w:rsidRPr="00040C74">
        <w:rPr>
          <w:b/>
          <w:bCs/>
        </w:rPr>
        <w:t xml:space="preserve">: TRS which is QCLed with the SSB on an active serving cell is transmitted on the inter-band SSB-less target SCell to guarantee fair performance of the UE activation. </w:t>
      </w:r>
    </w:p>
    <w:p w14:paraId="135CC598" w14:textId="77777777" w:rsidR="0033182F" w:rsidRPr="00D8735B" w:rsidRDefault="0033182F" w:rsidP="0033182F">
      <w:pPr>
        <w:rPr>
          <w:b/>
          <w:bCs/>
        </w:rPr>
      </w:pPr>
      <w:r w:rsidRPr="00D8735B">
        <w:rPr>
          <w:b/>
          <w:bCs/>
        </w:rPr>
        <w:t>Proposal</w:t>
      </w:r>
      <w:r>
        <w:rPr>
          <w:b/>
          <w:bCs/>
        </w:rPr>
        <w:t xml:space="preserve"> 4</w:t>
      </w:r>
      <w:r w:rsidRPr="00D8735B">
        <w:rPr>
          <w:b/>
          <w:bCs/>
        </w:rPr>
        <w:t>: when TRS is not configured on the target SCell, the configured aperiodic CSI-RS for inter-band SSB-less SCell activation is QCLed type A to the TRS of the SSB serving cell and it is QCLed type C to the SSB from the SSB serving cell.</w:t>
      </w:r>
    </w:p>
    <w:p w14:paraId="69151E6D" w14:textId="77777777" w:rsidR="0033182F" w:rsidRDefault="0033182F" w:rsidP="0033182F">
      <w:pPr>
        <w:rPr>
          <w:b/>
          <w:bCs/>
        </w:rPr>
      </w:pPr>
      <w:r w:rsidRPr="00B75C8C">
        <w:rPr>
          <w:b/>
          <w:bCs/>
        </w:rPr>
        <w:t>Proposal</w:t>
      </w:r>
      <w:r>
        <w:rPr>
          <w:b/>
          <w:bCs/>
        </w:rPr>
        <w:t xml:space="preserve"> 5</w:t>
      </w:r>
      <w:r w:rsidRPr="00B75C8C">
        <w:rPr>
          <w:b/>
          <w:bCs/>
        </w:rPr>
        <w:t>: Together with the specification of inter-band cases, RAN4 specifies requirements also for intra-band non-contiguous CA.</w:t>
      </w:r>
    </w:p>
    <w:p w14:paraId="3555890D" w14:textId="458E8E4C" w:rsidR="008F16E6" w:rsidRPr="0033182F" w:rsidRDefault="0033182F" w:rsidP="0033182F">
      <w:pPr>
        <w:rPr>
          <w:b/>
          <w:bCs/>
        </w:rPr>
      </w:pPr>
      <w:r>
        <w:rPr>
          <w:b/>
          <w:bCs/>
        </w:rPr>
        <w:t>Proposal 6: Activation requirements specified for inter-band SSB-less SCell also apply to intra-band non-contiguous SSB-less SCell activation.</w:t>
      </w:r>
    </w:p>
    <w:p w14:paraId="0F869E2E" w14:textId="77777777" w:rsidR="00F01182" w:rsidRPr="00146B4F" w:rsidRDefault="00F01182" w:rsidP="00F01182">
      <w:pPr>
        <w:pStyle w:val="Heading1"/>
      </w:pPr>
      <w:r w:rsidRPr="00146B4F">
        <w:t>References</w:t>
      </w:r>
    </w:p>
    <w:p w14:paraId="440E29CC" w14:textId="51B0DFF5" w:rsidR="0035238C" w:rsidRDefault="00EC2639" w:rsidP="00536CC1">
      <w:pPr>
        <w:widowControl w:val="0"/>
        <w:numPr>
          <w:ilvl w:val="0"/>
          <w:numId w:val="1"/>
        </w:numPr>
        <w:jc w:val="both"/>
      </w:pPr>
      <w:r>
        <w:t xml:space="preserve">RP-223540, </w:t>
      </w:r>
      <w:r w:rsidRPr="00EC2639">
        <w:t>New WID: Network energy savings for NR</w:t>
      </w:r>
      <w:r>
        <w:t>, Huawei</w:t>
      </w:r>
    </w:p>
    <w:sectPr w:rsidR="0035238C" w:rsidSect="00F0118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A1252" w14:textId="77777777" w:rsidR="00537E99" w:rsidRDefault="00537E99" w:rsidP="00F01182">
      <w:pPr>
        <w:spacing w:before="0" w:after="0"/>
      </w:pPr>
      <w:r>
        <w:separator/>
      </w:r>
    </w:p>
  </w:endnote>
  <w:endnote w:type="continuationSeparator" w:id="0">
    <w:p w14:paraId="5610253A" w14:textId="77777777" w:rsidR="00537E99" w:rsidRDefault="00537E99"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8E9B0" w14:textId="77777777" w:rsidR="00537E99" w:rsidRDefault="00537E99" w:rsidP="00F01182">
      <w:pPr>
        <w:spacing w:before="0" w:after="0"/>
      </w:pPr>
      <w:r>
        <w:separator/>
      </w:r>
    </w:p>
  </w:footnote>
  <w:footnote w:type="continuationSeparator" w:id="0">
    <w:p w14:paraId="6CD6C429" w14:textId="77777777" w:rsidR="00537E99" w:rsidRDefault="00537E99"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9"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3"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4"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14189">
    <w:abstractNumId w:val="4"/>
  </w:num>
  <w:num w:numId="2" w16cid:durableId="1965572078">
    <w:abstractNumId w:val="18"/>
  </w:num>
  <w:num w:numId="3" w16cid:durableId="1750498845">
    <w:abstractNumId w:val="21"/>
  </w:num>
  <w:num w:numId="4" w16cid:durableId="543520260">
    <w:abstractNumId w:val="16"/>
  </w:num>
  <w:num w:numId="5" w16cid:durableId="1359502119">
    <w:abstractNumId w:val="9"/>
  </w:num>
  <w:num w:numId="6" w16cid:durableId="1793940456">
    <w:abstractNumId w:val="24"/>
  </w:num>
  <w:num w:numId="7" w16cid:durableId="537012164">
    <w:abstractNumId w:val="8"/>
  </w:num>
  <w:num w:numId="8" w16cid:durableId="2097706601">
    <w:abstractNumId w:val="0"/>
  </w:num>
  <w:num w:numId="9" w16cid:durableId="1310327117">
    <w:abstractNumId w:val="11"/>
  </w:num>
  <w:num w:numId="10" w16cid:durableId="1636716512">
    <w:abstractNumId w:val="25"/>
  </w:num>
  <w:num w:numId="11" w16cid:durableId="715861796">
    <w:abstractNumId w:val="1"/>
  </w:num>
  <w:num w:numId="12" w16cid:durableId="839199737">
    <w:abstractNumId w:val="2"/>
  </w:num>
  <w:num w:numId="13" w16cid:durableId="1818840559">
    <w:abstractNumId w:val="20"/>
  </w:num>
  <w:num w:numId="14" w16cid:durableId="1427581886">
    <w:abstractNumId w:val="12"/>
  </w:num>
  <w:num w:numId="15" w16cid:durableId="1860504042">
    <w:abstractNumId w:val="19"/>
  </w:num>
  <w:num w:numId="16" w16cid:durableId="1765879093">
    <w:abstractNumId w:val="13"/>
  </w:num>
  <w:num w:numId="17" w16cid:durableId="483280718">
    <w:abstractNumId w:val="26"/>
  </w:num>
  <w:num w:numId="18" w16cid:durableId="1885829372">
    <w:abstractNumId w:val="14"/>
  </w:num>
  <w:num w:numId="19" w16cid:durableId="513542627">
    <w:abstractNumId w:val="5"/>
  </w:num>
  <w:num w:numId="20" w16cid:durableId="754546545">
    <w:abstractNumId w:val="15"/>
  </w:num>
  <w:num w:numId="21" w16cid:durableId="693922844">
    <w:abstractNumId w:val="18"/>
  </w:num>
  <w:num w:numId="22" w16cid:durableId="488254912">
    <w:abstractNumId w:val="18"/>
  </w:num>
  <w:num w:numId="23" w16cid:durableId="313418068">
    <w:abstractNumId w:val="18"/>
  </w:num>
  <w:num w:numId="24" w16cid:durableId="1253708625">
    <w:abstractNumId w:val="18"/>
  </w:num>
  <w:num w:numId="25" w16cid:durableId="1868327563">
    <w:abstractNumId w:val="18"/>
  </w:num>
  <w:num w:numId="26" w16cid:durableId="403720693">
    <w:abstractNumId w:val="19"/>
  </w:num>
  <w:num w:numId="27" w16cid:durableId="979964366">
    <w:abstractNumId w:val="7"/>
  </w:num>
  <w:num w:numId="28" w16cid:durableId="1145703836">
    <w:abstractNumId w:val="22"/>
  </w:num>
  <w:num w:numId="29" w16cid:durableId="1350718329">
    <w:abstractNumId w:val="23"/>
  </w:num>
  <w:num w:numId="30" w16cid:durableId="1228496372">
    <w:abstractNumId w:val="10"/>
  </w:num>
  <w:num w:numId="31" w16cid:durableId="1234511580">
    <w:abstractNumId w:val="6"/>
  </w:num>
  <w:num w:numId="32" w16cid:durableId="2116704110">
    <w:abstractNumId w:val="17"/>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08"/>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ABE"/>
    <w:rsid w:val="00030E5B"/>
    <w:rsid w:val="00032E03"/>
    <w:rsid w:val="000340DF"/>
    <w:rsid w:val="00036272"/>
    <w:rsid w:val="00040C74"/>
    <w:rsid w:val="00043C34"/>
    <w:rsid w:val="00045451"/>
    <w:rsid w:val="00054310"/>
    <w:rsid w:val="000572F6"/>
    <w:rsid w:val="000573F5"/>
    <w:rsid w:val="00060600"/>
    <w:rsid w:val="00060BFF"/>
    <w:rsid w:val="00063B38"/>
    <w:rsid w:val="000649F9"/>
    <w:rsid w:val="00064F15"/>
    <w:rsid w:val="00065555"/>
    <w:rsid w:val="00072896"/>
    <w:rsid w:val="00073829"/>
    <w:rsid w:val="00074DFE"/>
    <w:rsid w:val="00076CE6"/>
    <w:rsid w:val="00081385"/>
    <w:rsid w:val="00084065"/>
    <w:rsid w:val="00095052"/>
    <w:rsid w:val="000A2FFB"/>
    <w:rsid w:val="000A50D0"/>
    <w:rsid w:val="000A7FA8"/>
    <w:rsid w:val="000B0076"/>
    <w:rsid w:val="000B0BF2"/>
    <w:rsid w:val="000B3D16"/>
    <w:rsid w:val="000B5EF9"/>
    <w:rsid w:val="000B7484"/>
    <w:rsid w:val="000C3C28"/>
    <w:rsid w:val="000C591A"/>
    <w:rsid w:val="000C7CEA"/>
    <w:rsid w:val="000D7804"/>
    <w:rsid w:val="000E1A0A"/>
    <w:rsid w:val="000E6EF7"/>
    <w:rsid w:val="000E7B3A"/>
    <w:rsid w:val="000F0FA7"/>
    <w:rsid w:val="00103BF4"/>
    <w:rsid w:val="001040B8"/>
    <w:rsid w:val="00107875"/>
    <w:rsid w:val="00107AE1"/>
    <w:rsid w:val="00112CB5"/>
    <w:rsid w:val="0011347F"/>
    <w:rsid w:val="00113F61"/>
    <w:rsid w:val="00115392"/>
    <w:rsid w:val="00115F4E"/>
    <w:rsid w:val="0011631D"/>
    <w:rsid w:val="001252BA"/>
    <w:rsid w:val="00125DD7"/>
    <w:rsid w:val="001271E2"/>
    <w:rsid w:val="00131A6F"/>
    <w:rsid w:val="0013660D"/>
    <w:rsid w:val="00136953"/>
    <w:rsid w:val="00143777"/>
    <w:rsid w:val="00152119"/>
    <w:rsid w:val="00152979"/>
    <w:rsid w:val="00152F4F"/>
    <w:rsid w:val="00152FC7"/>
    <w:rsid w:val="001530D5"/>
    <w:rsid w:val="001544E7"/>
    <w:rsid w:val="00155382"/>
    <w:rsid w:val="001607E8"/>
    <w:rsid w:val="00173E8F"/>
    <w:rsid w:val="00175234"/>
    <w:rsid w:val="001769DC"/>
    <w:rsid w:val="001776C0"/>
    <w:rsid w:val="00181F62"/>
    <w:rsid w:val="00182B74"/>
    <w:rsid w:val="00183468"/>
    <w:rsid w:val="0018394C"/>
    <w:rsid w:val="0018463B"/>
    <w:rsid w:val="00185B35"/>
    <w:rsid w:val="00185EBB"/>
    <w:rsid w:val="0018602E"/>
    <w:rsid w:val="00191599"/>
    <w:rsid w:val="00191E1E"/>
    <w:rsid w:val="00193306"/>
    <w:rsid w:val="001936BF"/>
    <w:rsid w:val="00196ACE"/>
    <w:rsid w:val="001977AA"/>
    <w:rsid w:val="001A5351"/>
    <w:rsid w:val="001B0D59"/>
    <w:rsid w:val="001B170B"/>
    <w:rsid w:val="001B7857"/>
    <w:rsid w:val="001B79B4"/>
    <w:rsid w:val="001C072A"/>
    <w:rsid w:val="001C2D4A"/>
    <w:rsid w:val="001C5DFA"/>
    <w:rsid w:val="001C7338"/>
    <w:rsid w:val="001D2452"/>
    <w:rsid w:val="001D3B76"/>
    <w:rsid w:val="001D3FD8"/>
    <w:rsid w:val="001D5800"/>
    <w:rsid w:val="001D7FB9"/>
    <w:rsid w:val="001E098C"/>
    <w:rsid w:val="001E6FB4"/>
    <w:rsid w:val="001E7235"/>
    <w:rsid w:val="001E73FA"/>
    <w:rsid w:val="001F076E"/>
    <w:rsid w:val="001F1ED3"/>
    <w:rsid w:val="001F214A"/>
    <w:rsid w:val="001F4A14"/>
    <w:rsid w:val="001F650C"/>
    <w:rsid w:val="00204AD9"/>
    <w:rsid w:val="00204C52"/>
    <w:rsid w:val="002102C7"/>
    <w:rsid w:val="002132D0"/>
    <w:rsid w:val="00213455"/>
    <w:rsid w:val="002149A4"/>
    <w:rsid w:val="002150CD"/>
    <w:rsid w:val="00216D58"/>
    <w:rsid w:val="00217D2C"/>
    <w:rsid w:val="002229C9"/>
    <w:rsid w:val="002235D0"/>
    <w:rsid w:val="00225226"/>
    <w:rsid w:val="00230270"/>
    <w:rsid w:val="0023123D"/>
    <w:rsid w:val="002317CE"/>
    <w:rsid w:val="002361CA"/>
    <w:rsid w:val="0023767E"/>
    <w:rsid w:val="002460DA"/>
    <w:rsid w:val="002470AD"/>
    <w:rsid w:val="0024750C"/>
    <w:rsid w:val="00250CB6"/>
    <w:rsid w:val="00251094"/>
    <w:rsid w:val="00253810"/>
    <w:rsid w:val="0025618C"/>
    <w:rsid w:val="002562C7"/>
    <w:rsid w:val="00257BDB"/>
    <w:rsid w:val="0026404E"/>
    <w:rsid w:val="0026412A"/>
    <w:rsid w:val="00264652"/>
    <w:rsid w:val="002647EB"/>
    <w:rsid w:val="00264AE5"/>
    <w:rsid w:val="00265ECD"/>
    <w:rsid w:val="00270245"/>
    <w:rsid w:val="00272062"/>
    <w:rsid w:val="00272524"/>
    <w:rsid w:val="002732EB"/>
    <w:rsid w:val="00276AB5"/>
    <w:rsid w:val="00280090"/>
    <w:rsid w:val="002803DD"/>
    <w:rsid w:val="00281192"/>
    <w:rsid w:val="0028218B"/>
    <w:rsid w:val="00291A4F"/>
    <w:rsid w:val="00294742"/>
    <w:rsid w:val="00296A2A"/>
    <w:rsid w:val="002979ED"/>
    <w:rsid w:val="002A153C"/>
    <w:rsid w:val="002A1DA3"/>
    <w:rsid w:val="002A3061"/>
    <w:rsid w:val="002A3FC8"/>
    <w:rsid w:val="002A50F5"/>
    <w:rsid w:val="002B00D5"/>
    <w:rsid w:val="002B198E"/>
    <w:rsid w:val="002B1B91"/>
    <w:rsid w:val="002B26BD"/>
    <w:rsid w:val="002B3F75"/>
    <w:rsid w:val="002B503C"/>
    <w:rsid w:val="002B5535"/>
    <w:rsid w:val="002B5545"/>
    <w:rsid w:val="002C16EF"/>
    <w:rsid w:val="002C565E"/>
    <w:rsid w:val="002C6111"/>
    <w:rsid w:val="002C774D"/>
    <w:rsid w:val="002D54A8"/>
    <w:rsid w:val="002D5AF3"/>
    <w:rsid w:val="002D7BB7"/>
    <w:rsid w:val="002E1458"/>
    <w:rsid w:val="002E2C6B"/>
    <w:rsid w:val="002E3267"/>
    <w:rsid w:val="002E5DFE"/>
    <w:rsid w:val="002E6C80"/>
    <w:rsid w:val="002F0CF0"/>
    <w:rsid w:val="002F200B"/>
    <w:rsid w:val="002F6E94"/>
    <w:rsid w:val="00302348"/>
    <w:rsid w:val="00302C9C"/>
    <w:rsid w:val="0030306A"/>
    <w:rsid w:val="00303329"/>
    <w:rsid w:val="00304F73"/>
    <w:rsid w:val="00305933"/>
    <w:rsid w:val="00305ECF"/>
    <w:rsid w:val="003121AB"/>
    <w:rsid w:val="003128D1"/>
    <w:rsid w:val="00312F3D"/>
    <w:rsid w:val="00313845"/>
    <w:rsid w:val="00315F96"/>
    <w:rsid w:val="0031728A"/>
    <w:rsid w:val="0031734A"/>
    <w:rsid w:val="003234D1"/>
    <w:rsid w:val="00324CF8"/>
    <w:rsid w:val="00330780"/>
    <w:rsid w:val="00330CD2"/>
    <w:rsid w:val="0033182F"/>
    <w:rsid w:val="00335F25"/>
    <w:rsid w:val="00340741"/>
    <w:rsid w:val="00341635"/>
    <w:rsid w:val="003439AE"/>
    <w:rsid w:val="00344B9F"/>
    <w:rsid w:val="00347765"/>
    <w:rsid w:val="003502D8"/>
    <w:rsid w:val="0035238C"/>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19D"/>
    <w:rsid w:val="00391250"/>
    <w:rsid w:val="003954E2"/>
    <w:rsid w:val="003956F4"/>
    <w:rsid w:val="00395ECB"/>
    <w:rsid w:val="00397650"/>
    <w:rsid w:val="003A0629"/>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E21BE"/>
    <w:rsid w:val="003E363B"/>
    <w:rsid w:val="003E3FF2"/>
    <w:rsid w:val="003E598B"/>
    <w:rsid w:val="003E5C23"/>
    <w:rsid w:val="003F1084"/>
    <w:rsid w:val="003F4934"/>
    <w:rsid w:val="003F6923"/>
    <w:rsid w:val="0040357B"/>
    <w:rsid w:val="00405DE3"/>
    <w:rsid w:val="004107A7"/>
    <w:rsid w:val="004175F6"/>
    <w:rsid w:val="00420AF7"/>
    <w:rsid w:val="00422DA1"/>
    <w:rsid w:val="00424D9A"/>
    <w:rsid w:val="00425DB6"/>
    <w:rsid w:val="00426E1E"/>
    <w:rsid w:val="0042717A"/>
    <w:rsid w:val="00431B06"/>
    <w:rsid w:val="004345D9"/>
    <w:rsid w:val="00435B85"/>
    <w:rsid w:val="00447406"/>
    <w:rsid w:val="00450660"/>
    <w:rsid w:val="004520A8"/>
    <w:rsid w:val="004536D1"/>
    <w:rsid w:val="004563D3"/>
    <w:rsid w:val="00461289"/>
    <w:rsid w:val="00464AF9"/>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6646"/>
    <w:rsid w:val="004B051D"/>
    <w:rsid w:val="004B100C"/>
    <w:rsid w:val="004B169B"/>
    <w:rsid w:val="004B191B"/>
    <w:rsid w:val="004B59ED"/>
    <w:rsid w:val="004B5D0D"/>
    <w:rsid w:val="004B693F"/>
    <w:rsid w:val="004B7470"/>
    <w:rsid w:val="004D0917"/>
    <w:rsid w:val="004D61A0"/>
    <w:rsid w:val="004D6FC6"/>
    <w:rsid w:val="004E0BBA"/>
    <w:rsid w:val="004E13DD"/>
    <w:rsid w:val="004E3E0E"/>
    <w:rsid w:val="004E6575"/>
    <w:rsid w:val="004F1400"/>
    <w:rsid w:val="004F25D2"/>
    <w:rsid w:val="004F477A"/>
    <w:rsid w:val="004F50AC"/>
    <w:rsid w:val="004F60A7"/>
    <w:rsid w:val="00500DB8"/>
    <w:rsid w:val="00502AFC"/>
    <w:rsid w:val="005050F6"/>
    <w:rsid w:val="0050718C"/>
    <w:rsid w:val="00510D0B"/>
    <w:rsid w:val="00512E06"/>
    <w:rsid w:val="00516C3D"/>
    <w:rsid w:val="00517C88"/>
    <w:rsid w:val="00521A7B"/>
    <w:rsid w:val="00523459"/>
    <w:rsid w:val="00523630"/>
    <w:rsid w:val="005276FB"/>
    <w:rsid w:val="00527E13"/>
    <w:rsid w:val="00533B3F"/>
    <w:rsid w:val="0053560F"/>
    <w:rsid w:val="00536CC1"/>
    <w:rsid w:val="00537E99"/>
    <w:rsid w:val="00537F0F"/>
    <w:rsid w:val="00543E95"/>
    <w:rsid w:val="00545586"/>
    <w:rsid w:val="00545744"/>
    <w:rsid w:val="005468E3"/>
    <w:rsid w:val="0054776E"/>
    <w:rsid w:val="00547F4D"/>
    <w:rsid w:val="00551564"/>
    <w:rsid w:val="0055372B"/>
    <w:rsid w:val="00553847"/>
    <w:rsid w:val="005611DB"/>
    <w:rsid w:val="00562C34"/>
    <w:rsid w:val="005710EE"/>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B3C5D"/>
    <w:rsid w:val="005B6889"/>
    <w:rsid w:val="005B797C"/>
    <w:rsid w:val="005C7C89"/>
    <w:rsid w:val="005D0CD6"/>
    <w:rsid w:val="005D1F13"/>
    <w:rsid w:val="005D31A5"/>
    <w:rsid w:val="005D33D1"/>
    <w:rsid w:val="005D3ED4"/>
    <w:rsid w:val="005D43B2"/>
    <w:rsid w:val="005D7F3E"/>
    <w:rsid w:val="005E1EFD"/>
    <w:rsid w:val="005E3592"/>
    <w:rsid w:val="005E502E"/>
    <w:rsid w:val="005F1BDE"/>
    <w:rsid w:val="005F6B7F"/>
    <w:rsid w:val="00604C04"/>
    <w:rsid w:val="00604C3A"/>
    <w:rsid w:val="006115D3"/>
    <w:rsid w:val="006127ED"/>
    <w:rsid w:val="006132B7"/>
    <w:rsid w:val="006137E4"/>
    <w:rsid w:val="00614A62"/>
    <w:rsid w:val="006150C1"/>
    <w:rsid w:val="006160EC"/>
    <w:rsid w:val="006238CD"/>
    <w:rsid w:val="006263E0"/>
    <w:rsid w:val="006277E0"/>
    <w:rsid w:val="00627A3B"/>
    <w:rsid w:val="006303C0"/>
    <w:rsid w:val="006303F7"/>
    <w:rsid w:val="00631458"/>
    <w:rsid w:val="006400E7"/>
    <w:rsid w:val="00642F8D"/>
    <w:rsid w:val="006432C2"/>
    <w:rsid w:val="00645DC9"/>
    <w:rsid w:val="00646566"/>
    <w:rsid w:val="006504A5"/>
    <w:rsid w:val="00651C90"/>
    <w:rsid w:val="006573CC"/>
    <w:rsid w:val="006611F4"/>
    <w:rsid w:val="00662C22"/>
    <w:rsid w:val="006658EA"/>
    <w:rsid w:val="00666C1E"/>
    <w:rsid w:val="00673259"/>
    <w:rsid w:val="00681E57"/>
    <w:rsid w:val="006826A0"/>
    <w:rsid w:val="0068313D"/>
    <w:rsid w:val="00683C44"/>
    <w:rsid w:val="006843EF"/>
    <w:rsid w:val="006850C8"/>
    <w:rsid w:val="00690C75"/>
    <w:rsid w:val="006A16AF"/>
    <w:rsid w:val="006A5F2D"/>
    <w:rsid w:val="006B0C48"/>
    <w:rsid w:val="006B1BBE"/>
    <w:rsid w:val="006B1E1D"/>
    <w:rsid w:val="006B2967"/>
    <w:rsid w:val="006B65B1"/>
    <w:rsid w:val="006C12A3"/>
    <w:rsid w:val="006C2507"/>
    <w:rsid w:val="006C51BB"/>
    <w:rsid w:val="006C7A01"/>
    <w:rsid w:val="006D23BC"/>
    <w:rsid w:val="006D2CA1"/>
    <w:rsid w:val="006D4C0E"/>
    <w:rsid w:val="006D5777"/>
    <w:rsid w:val="006D5BEA"/>
    <w:rsid w:val="006D76D9"/>
    <w:rsid w:val="006E4647"/>
    <w:rsid w:val="006F1D30"/>
    <w:rsid w:val="006F590B"/>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741D"/>
    <w:rsid w:val="007473A3"/>
    <w:rsid w:val="00752376"/>
    <w:rsid w:val="00762BD0"/>
    <w:rsid w:val="00767065"/>
    <w:rsid w:val="00780851"/>
    <w:rsid w:val="00780A46"/>
    <w:rsid w:val="00780CB5"/>
    <w:rsid w:val="00781FCA"/>
    <w:rsid w:val="00782360"/>
    <w:rsid w:val="007876D5"/>
    <w:rsid w:val="007906B8"/>
    <w:rsid w:val="007948D4"/>
    <w:rsid w:val="007975BA"/>
    <w:rsid w:val="007A14A1"/>
    <w:rsid w:val="007A45CE"/>
    <w:rsid w:val="007B03C9"/>
    <w:rsid w:val="007B2FB4"/>
    <w:rsid w:val="007C1E2C"/>
    <w:rsid w:val="007C1FD1"/>
    <w:rsid w:val="007C395A"/>
    <w:rsid w:val="007D3E2A"/>
    <w:rsid w:val="007D6681"/>
    <w:rsid w:val="007E00C1"/>
    <w:rsid w:val="007E243B"/>
    <w:rsid w:val="007E3B33"/>
    <w:rsid w:val="007E5580"/>
    <w:rsid w:val="007E6D85"/>
    <w:rsid w:val="007F2670"/>
    <w:rsid w:val="007F340B"/>
    <w:rsid w:val="007F5315"/>
    <w:rsid w:val="00803A5E"/>
    <w:rsid w:val="00803FB7"/>
    <w:rsid w:val="00804196"/>
    <w:rsid w:val="00804207"/>
    <w:rsid w:val="00804CC8"/>
    <w:rsid w:val="00811961"/>
    <w:rsid w:val="00811E0C"/>
    <w:rsid w:val="00815F9C"/>
    <w:rsid w:val="008224AF"/>
    <w:rsid w:val="008244E0"/>
    <w:rsid w:val="00826118"/>
    <w:rsid w:val="00830D69"/>
    <w:rsid w:val="0083109D"/>
    <w:rsid w:val="0083144C"/>
    <w:rsid w:val="00833FDE"/>
    <w:rsid w:val="00836887"/>
    <w:rsid w:val="008376F8"/>
    <w:rsid w:val="00840947"/>
    <w:rsid w:val="0084253B"/>
    <w:rsid w:val="00842589"/>
    <w:rsid w:val="008466B7"/>
    <w:rsid w:val="00846F42"/>
    <w:rsid w:val="00847D21"/>
    <w:rsid w:val="00851E91"/>
    <w:rsid w:val="008520CB"/>
    <w:rsid w:val="008557CE"/>
    <w:rsid w:val="008579C9"/>
    <w:rsid w:val="008604F8"/>
    <w:rsid w:val="00870322"/>
    <w:rsid w:val="00871EF4"/>
    <w:rsid w:val="00871FE1"/>
    <w:rsid w:val="00876695"/>
    <w:rsid w:val="008804B7"/>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64EF"/>
    <w:rsid w:val="008C6931"/>
    <w:rsid w:val="008C737F"/>
    <w:rsid w:val="008D01AD"/>
    <w:rsid w:val="008D0476"/>
    <w:rsid w:val="008D1656"/>
    <w:rsid w:val="008D39AB"/>
    <w:rsid w:val="008D594C"/>
    <w:rsid w:val="008D7C3B"/>
    <w:rsid w:val="008E1360"/>
    <w:rsid w:val="008E3699"/>
    <w:rsid w:val="008E39F0"/>
    <w:rsid w:val="008E4985"/>
    <w:rsid w:val="008E49E0"/>
    <w:rsid w:val="008E624A"/>
    <w:rsid w:val="008F16E6"/>
    <w:rsid w:val="008F64EB"/>
    <w:rsid w:val="00900892"/>
    <w:rsid w:val="00905604"/>
    <w:rsid w:val="0091207F"/>
    <w:rsid w:val="009123FD"/>
    <w:rsid w:val="00912AF8"/>
    <w:rsid w:val="00917836"/>
    <w:rsid w:val="00921CD3"/>
    <w:rsid w:val="009233A6"/>
    <w:rsid w:val="009258DD"/>
    <w:rsid w:val="0092766A"/>
    <w:rsid w:val="00927F65"/>
    <w:rsid w:val="00930D82"/>
    <w:rsid w:val="00932F7B"/>
    <w:rsid w:val="009335D9"/>
    <w:rsid w:val="00941089"/>
    <w:rsid w:val="0094154F"/>
    <w:rsid w:val="0094190F"/>
    <w:rsid w:val="00941FFE"/>
    <w:rsid w:val="009436B2"/>
    <w:rsid w:val="00944055"/>
    <w:rsid w:val="00946AE2"/>
    <w:rsid w:val="00952073"/>
    <w:rsid w:val="00952E77"/>
    <w:rsid w:val="00952FC5"/>
    <w:rsid w:val="00954E38"/>
    <w:rsid w:val="009550C0"/>
    <w:rsid w:val="00955AFF"/>
    <w:rsid w:val="00961D86"/>
    <w:rsid w:val="00963845"/>
    <w:rsid w:val="00963BDA"/>
    <w:rsid w:val="00964292"/>
    <w:rsid w:val="00971726"/>
    <w:rsid w:val="009726C8"/>
    <w:rsid w:val="00973778"/>
    <w:rsid w:val="00975FC9"/>
    <w:rsid w:val="00977CFF"/>
    <w:rsid w:val="00977FC2"/>
    <w:rsid w:val="009821B5"/>
    <w:rsid w:val="00982F1A"/>
    <w:rsid w:val="0098361A"/>
    <w:rsid w:val="009841C5"/>
    <w:rsid w:val="0098591C"/>
    <w:rsid w:val="00987EEF"/>
    <w:rsid w:val="00990C08"/>
    <w:rsid w:val="00990CC4"/>
    <w:rsid w:val="00990DD7"/>
    <w:rsid w:val="00992FAE"/>
    <w:rsid w:val="00993E56"/>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53CC"/>
    <w:rsid w:val="009E69C5"/>
    <w:rsid w:val="009F1182"/>
    <w:rsid w:val="009F2BC0"/>
    <w:rsid w:val="009F3400"/>
    <w:rsid w:val="009F55FD"/>
    <w:rsid w:val="00A019EF"/>
    <w:rsid w:val="00A03236"/>
    <w:rsid w:val="00A06F4C"/>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53294"/>
    <w:rsid w:val="00A540C5"/>
    <w:rsid w:val="00A57FAE"/>
    <w:rsid w:val="00A60E3B"/>
    <w:rsid w:val="00A623F6"/>
    <w:rsid w:val="00A674C8"/>
    <w:rsid w:val="00A677D6"/>
    <w:rsid w:val="00A70703"/>
    <w:rsid w:val="00A70C9E"/>
    <w:rsid w:val="00A7182B"/>
    <w:rsid w:val="00A7346B"/>
    <w:rsid w:val="00A74013"/>
    <w:rsid w:val="00A75876"/>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B081E"/>
    <w:rsid w:val="00AB2E7B"/>
    <w:rsid w:val="00AB3834"/>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52F7"/>
    <w:rsid w:val="00B02253"/>
    <w:rsid w:val="00B03D94"/>
    <w:rsid w:val="00B05305"/>
    <w:rsid w:val="00B05576"/>
    <w:rsid w:val="00B11278"/>
    <w:rsid w:val="00B11E4E"/>
    <w:rsid w:val="00B12BCC"/>
    <w:rsid w:val="00B159A8"/>
    <w:rsid w:val="00B21A14"/>
    <w:rsid w:val="00B21FB3"/>
    <w:rsid w:val="00B2412D"/>
    <w:rsid w:val="00B25B59"/>
    <w:rsid w:val="00B26222"/>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62BA2"/>
    <w:rsid w:val="00B635C8"/>
    <w:rsid w:val="00B635E3"/>
    <w:rsid w:val="00B65363"/>
    <w:rsid w:val="00B71247"/>
    <w:rsid w:val="00B72FB9"/>
    <w:rsid w:val="00B743B0"/>
    <w:rsid w:val="00B74C12"/>
    <w:rsid w:val="00B75C8C"/>
    <w:rsid w:val="00B76C78"/>
    <w:rsid w:val="00B7752C"/>
    <w:rsid w:val="00B87EAC"/>
    <w:rsid w:val="00B912A4"/>
    <w:rsid w:val="00B92BE2"/>
    <w:rsid w:val="00B93C3E"/>
    <w:rsid w:val="00B93D8F"/>
    <w:rsid w:val="00B94260"/>
    <w:rsid w:val="00B94869"/>
    <w:rsid w:val="00B95EA0"/>
    <w:rsid w:val="00B96CE2"/>
    <w:rsid w:val="00BA3E2C"/>
    <w:rsid w:val="00BA5F1E"/>
    <w:rsid w:val="00BA73CB"/>
    <w:rsid w:val="00BB0803"/>
    <w:rsid w:val="00BB1DF6"/>
    <w:rsid w:val="00BB3F09"/>
    <w:rsid w:val="00BC4207"/>
    <w:rsid w:val="00BC72C1"/>
    <w:rsid w:val="00BD19AC"/>
    <w:rsid w:val="00BD1E06"/>
    <w:rsid w:val="00BD5C74"/>
    <w:rsid w:val="00BD6C67"/>
    <w:rsid w:val="00BD7C46"/>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301C3"/>
    <w:rsid w:val="00C36349"/>
    <w:rsid w:val="00C36EAC"/>
    <w:rsid w:val="00C418D2"/>
    <w:rsid w:val="00C430AA"/>
    <w:rsid w:val="00C4453A"/>
    <w:rsid w:val="00C458C9"/>
    <w:rsid w:val="00C45CB0"/>
    <w:rsid w:val="00C4631E"/>
    <w:rsid w:val="00C467F6"/>
    <w:rsid w:val="00C46D7A"/>
    <w:rsid w:val="00C52156"/>
    <w:rsid w:val="00C54207"/>
    <w:rsid w:val="00C54BB9"/>
    <w:rsid w:val="00C55C96"/>
    <w:rsid w:val="00C57F1B"/>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B1708"/>
    <w:rsid w:val="00CB2B87"/>
    <w:rsid w:val="00CB72D1"/>
    <w:rsid w:val="00CB7EB0"/>
    <w:rsid w:val="00CC2BEC"/>
    <w:rsid w:val="00CC4D30"/>
    <w:rsid w:val="00CC5C2D"/>
    <w:rsid w:val="00CC5F14"/>
    <w:rsid w:val="00CC7B28"/>
    <w:rsid w:val="00CD17D6"/>
    <w:rsid w:val="00CD2527"/>
    <w:rsid w:val="00CD498C"/>
    <w:rsid w:val="00CD6254"/>
    <w:rsid w:val="00CD6486"/>
    <w:rsid w:val="00CD6DA9"/>
    <w:rsid w:val="00CE0C27"/>
    <w:rsid w:val="00CE415E"/>
    <w:rsid w:val="00CE5C33"/>
    <w:rsid w:val="00CE6A2F"/>
    <w:rsid w:val="00CE6DC0"/>
    <w:rsid w:val="00CF33B9"/>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31AD3"/>
    <w:rsid w:val="00D34BCA"/>
    <w:rsid w:val="00D40F4C"/>
    <w:rsid w:val="00D44A73"/>
    <w:rsid w:val="00D4505C"/>
    <w:rsid w:val="00D451D6"/>
    <w:rsid w:val="00D459D1"/>
    <w:rsid w:val="00D46CEF"/>
    <w:rsid w:val="00D4762C"/>
    <w:rsid w:val="00D5048F"/>
    <w:rsid w:val="00D51296"/>
    <w:rsid w:val="00D51A0E"/>
    <w:rsid w:val="00D55E50"/>
    <w:rsid w:val="00D55E79"/>
    <w:rsid w:val="00D610C5"/>
    <w:rsid w:val="00D62705"/>
    <w:rsid w:val="00D66BC5"/>
    <w:rsid w:val="00D750BF"/>
    <w:rsid w:val="00D76B45"/>
    <w:rsid w:val="00D824C5"/>
    <w:rsid w:val="00D83984"/>
    <w:rsid w:val="00D83D39"/>
    <w:rsid w:val="00D8410C"/>
    <w:rsid w:val="00D8735B"/>
    <w:rsid w:val="00D87E91"/>
    <w:rsid w:val="00D9234B"/>
    <w:rsid w:val="00D93F60"/>
    <w:rsid w:val="00D94A75"/>
    <w:rsid w:val="00DA0830"/>
    <w:rsid w:val="00DA3A8F"/>
    <w:rsid w:val="00DA6789"/>
    <w:rsid w:val="00DA7066"/>
    <w:rsid w:val="00DB1594"/>
    <w:rsid w:val="00DB230B"/>
    <w:rsid w:val="00DB38DC"/>
    <w:rsid w:val="00DB5392"/>
    <w:rsid w:val="00DC0232"/>
    <w:rsid w:val="00DC0415"/>
    <w:rsid w:val="00DC1E09"/>
    <w:rsid w:val="00DC2FDE"/>
    <w:rsid w:val="00DC3026"/>
    <w:rsid w:val="00DC3348"/>
    <w:rsid w:val="00DC4FEA"/>
    <w:rsid w:val="00DD1AC2"/>
    <w:rsid w:val="00DD1FD4"/>
    <w:rsid w:val="00DD2512"/>
    <w:rsid w:val="00DD3D48"/>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4A2E"/>
    <w:rsid w:val="00E163F3"/>
    <w:rsid w:val="00E1747D"/>
    <w:rsid w:val="00E204E1"/>
    <w:rsid w:val="00E21E87"/>
    <w:rsid w:val="00E21FEB"/>
    <w:rsid w:val="00E239D4"/>
    <w:rsid w:val="00E2606B"/>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75391"/>
    <w:rsid w:val="00E773AC"/>
    <w:rsid w:val="00E82567"/>
    <w:rsid w:val="00E90376"/>
    <w:rsid w:val="00E93326"/>
    <w:rsid w:val="00E93DC7"/>
    <w:rsid w:val="00EA0252"/>
    <w:rsid w:val="00EA0AEF"/>
    <w:rsid w:val="00EA196B"/>
    <w:rsid w:val="00EA1E2D"/>
    <w:rsid w:val="00EA2E69"/>
    <w:rsid w:val="00EA2F82"/>
    <w:rsid w:val="00EA699E"/>
    <w:rsid w:val="00EA799C"/>
    <w:rsid w:val="00EB44C6"/>
    <w:rsid w:val="00EB61C0"/>
    <w:rsid w:val="00EB6DB3"/>
    <w:rsid w:val="00EC0371"/>
    <w:rsid w:val="00EC05A8"/>
    <w:rsid w:val="00EC2639"/>
    <w:rsid w:val="00EC3341"/>
    <w:rsid w:val="00EC4B01"/>
    <w:rsid w:val="00EC6B88"/>
    <w:rsid w:val="00EC7204"/>
    <w:rsid w:val="00ED160F"/>
    <w:rsid w:val="00ED1A74"/>
    <w:rsid w:val="00ED50FC"/>
    <w:rsid w:val="00ED5901"/>
    <w:rsid w:val="00ED77D7"/>
    <w:rsid w:val="00EE1C4B"/>
    <w:rsid w:val="00EE1DE0"/>
    <w:rsid w:val="00EE27B8"/>
    <w:rsid w:val="00EE42ED"/>
    <w:rsid w:val="00EE5FAA"/>
    <w:rsid w:val="00EE6344"/>
    <w:rsid w:val="00EF0088"/>
    <w:rsid w:val="00EF22B6"/>
    <w:rsid w:val="00EF5556"/>
    <w:rsid w:val="00EF57FC"/>
    <w:rsid w:val="00EF6B2D"/>
    <w:rsid w:val="00F01182"/>
    <w:rsid w:val="00F06A7C"/>
    <w:rsid w:val="00F11550"/>
    <w:rsid w:val="00F123C6"/>
    <w:rsid w:val="00F133F1"/>
    <w:rsid w:val="00F1523A"/>
    <w:rsid w:val="00F20BD2"/>
    <w:rsid w:val="00F23E66"/>
    <w:rsid w:val="00F24D79"/>
    <w:rsid w:val="00F32004"/>
    <w:rsid w:val="00F32187"/>
    <w:rsid w:val="00F36E15"/>
    <w:rsid w:val="00F44C83"/>
    <w:rsid w:val="00F51B6A"/>
    <w:rsid w:val="00F52F9F"/>
    <w:rsid w:val="00F54390"/>
    <w:rsid w:val="00F61D8E"/>
    <w:rsid w:val="00F62E1E"/>
    <w:rsid w:val="00F63206"/>
    <w:rsid w:val="00F63D1F"/>
    <w:rsid w:val="00F63F73"/>
    <w:rsid w:val="00F64D94"/>
    <w:rsid w:val="00F7002D"/>
    <w:rsid w:val="00F711C2"/>
    <w:rsid w:val="00F72359"/>
    <w:rsid w:val="00F764F8"/>
    <w:rsid w:val="00F80270"/>
    <w:rsid w:val="00F81093"/>
    <w:rsid w:val="00F818AB"/>
    <w:rsid w:val="00F91ED9"/>
    <w:rsid w:val="00F944A5"/>
    <w:rsid w:val="00F94E10"/>
    <w:rsid w:val="00F963C5"/>
    <w:rsid w:val="00F97F1B"/>
    <w:rsid w:val="00FA39B1"/>
    <w:rsid w:val="00FA4157"/>
    <w:rsid w:val="00FA4E28"/>
    <w:rsid w:val="00FA6742"/>
    <w:rsid w:val="00FB19F2"/>
    <w:rsid w:val="00FB4E20"/>
    <w:rsid w:val="00FB5DF3"/>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3174</TotalTime>
  <Pages>4</Pages>
  <Words>1847</Words>
  <Characters>10533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543</cp:revision>
  <dcterms:created xsi:type="dcterms:W3CDTF">2022-01-07T10:14:00Z</dcterms:created>
  <dcterms:modified xsi:type="dcterms:W3CDTF">2023-04-10T09:09:00Z</dcterms:modified>
</cp:coreProperties>
</file>